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4B" w:rsidRDefault="009B011D">
      <w:pPr>
        <w:jc w:val="right"/>
        <w:rPr>
          <w:rFonts w:cstheme="minorHAnsi"/>
          <w:bCs/>
          <w:sz w:val="24"/>
          <w:szCs w:val="24"/>
          <w:highlight w:val="white"/>
        </w:rPr>
      </w:pPr>
      <w:r>
        <w:rPr>
          <w:rStyle w:val="a4"/>
          <w:rFonts w:cstheme="minorHAnsi"/>
          <w:b w:val="0"/>
          <w:sz w:val="24"/>
          <w:szCs w:val="24"/>
          <w:shd w:val="clear" w:color="auto" w:fill="FFFFFF"/>
        </w:rPr>
        <w:t>1</w:t>
      </w:r>
      <w:r>
        <w:rPr>
          <w:rStyle w:val="a4"/>
          <w:rFonts w:cstheme="minorHAnsi"/>
          <w:b w:val="0"/>
          <w:sz w:val="24"/>
          <w:szCs w:val="24"/>
          <w:shd w:val="clear" w:color="auto" w:fill="FFFFFF"/>
          <w:vertAlign w:val="superscript"/>
        </w:rPr>
        <w:t xml:space="preserve"> </w:t>
      </w:r>
      <w:r>
        <w:rPr>
          <w:rStyle w:val="a4"/>
          <w:rFonts w:cstheme="minorHAnsi"/>
          <w:b w:val="0"/>
          <w:sz w:val="24"/>
          <w:szCs w:val="24"/>
          <w:shd w:val="clear" w:color="auto" w:fill="FFFFFF"/>
        </w:rPr>
        <w:t>Απριλίου 2023</w:t>
      </w:r>
    </w:p>
    <w:p w:rsidR="0098654B" w:rsidRDefault="0098654B">
      <w:pPr>
        <w:jc w:val="center"/>
        <w:rPr>
          <w:rFonts w:cstheme="minorHAnsi"/>
          <w:b/>
          <w:sz w:val="28"/>
          <w:szCs w:val="24"/>
        </w:rPr>
      </w:pPr>
    </w:p>
    <w:p w:rsidR="0098654B" w:rsidRDefault="009B011D">
      <w:pPr>
        <w:jc w:val="center"/>
        <w:rPr>
          <w:rFonts w:cstheme="minorHAnsi"/>
          <w:i/>
          <w:sz w:val="24"/>
          <w:szCs w:val="24"/>
        </w:rPr>
      </w:pPr>
      <w:r>
        <w:rPr>
          <w:rFonts w:cstheme="minorHAnsi"/>
          <w:b/>
          <w:sz w:val="24"/>
          <w:szCs w:val="24"/>
        </w:rPr>
        <w:t>24 ερωτήσεις-απαντήσεις για το πρόγραμμα χορήγησης χαμηλότοκων στεγαστικών δανείων σε νέους και νέα ζευγάρια</w:t>
      </w:r>
    </w:p>
    <w:p w:rsidR="0098654B" w:rsidRDefault="0098654B">
      <w:pPr>
        <w:jc w:val="both"/>
        <w:rPr>
          <w:rFonts w:cstheme="minorHAnsi"/>
          <w:b/>
          <w:sz w:val="24"/>
          <w:szCs w:val="24"/>
        </w:rPr>
      </w:pPr>
    </w:p>
    <w:p w:rsidR="0098654B" w:rsidRDefault="009B011D">
      <w:pPr>
        <w:jc w:val="both"/>
        <w:rPr>
          <w:rFonts w:cstheme="minorHAnsi"/>
          <w:b/>
          <w:sz w:val="24"/>
          <w:szCs w:val="24"/>
        </w:rPr>
      </w:pPr>
      <w:r>
        <w:rPr>
          <w:rFonts w:cstheme="minorHAnsi"/>
          <w:b/>
          <w:sz w:val="24"/>
          <w:szCs w:val="24"/>
        </w:rPr>
        <w:t xml:space="preserve">1. Ποιο είναι το όφελος για τους νέους που θα ενταχθούν στο πρόγραμμα για τα στεγαστικά δάνεια; </w:t>
      </w:r>
    </w:p>
    <w:p w:rsidR="0098654B" w:rsidRDefault="009B011D">
      <w:pPr>
        <w:jc w:val="both"/>
        <w:rPr>
          <w:rFonts w:cstheme="minorHAnsi"/>
          <w:sz w:val="24"/>
          <w:szCs w:val="24"/>
        </w:rPr>
      </w:pPr>
      <w:r>
        <w:rPr>
          <w:rFonts w:cstheme="minorHAnsi"/>
          <w:sz w:val="24"/>
          <w:szCs w:val="24"/>
        </w:rPr>
        <w:t xml:space="preserve">Το πρόγραμμα των επιδοτούμενων </w:t>
      </w:r>
      <w:r>
        <w:rPr>
          <w:rFonts w:cstheme="minorHAnsi"/>
          <w:sz w:val="24"/>
          <w:szCs w:val="24"/>
        </w:rPr>
        <w:t>στεγαστικών δανείων εξασφαλίζει πέντε συγκεκριμένα πλεονεκτήματα για τους ωφελούμενους.</w:t>
      </w:r>
    </w:p>
    <w:p w:rsidR="0098654B" w:rsidRDefault="009B011D">
      <w:pPr>
        <w:jc w:val="both"/>
        <w:rPr>
          <w:rFonts w:cstheme="minorHAnsi"/>
          <w:sz w:val="24"/>
          <w:szCs w:val="24"/>
        </w:rPr>
      </w:pPr>
      <w:r>
        <w:rPr>
          <w:rFonts w:cstheme="minorHAnsi"/>
          <w:b/>
          <w:sz w:val="24"/>
          <w:szCs w:val="24"/>
        </w:rPr>
        <w:t>Πρώτον</w:t>
      </w:r>
      <w:r>
        <w:rPr>
          <w:rFonts w:cstheme="minorHAnsi"/>
          <w:sz w:val="24"/>
          <w:szCs w:val="24"/>
        </w:rPr>
        <w:t>, χαμηλότερη δόση για την αποπληρωμή του δανείου, καθώς το 75% του ποσού χορηγείται άτοκα από τη ΔΥΠΑ και το τραπεζικό επιτόκιο εφαρμόζεται στο υπόλοιπο 25% του π</w:t>
      </w:r>
      <w:r>
        <w:rPr>
          <w:rFonts w:cstheme="minorHAnsi"/>
          <w:sz w:val="24"/>
          <w:szCs w:val="24"/>
        </w:rPr>
        <w:t>οσού. Για τρίτεκνους και πολύτεκνους τα δάνεια χορηγούνται άτοκα, με 100% επιδότηση του επιτοκίου από τη ΔΥΠΑ. Έτσι, το επιτόκιο του δανείου διαμορφώνεται στο ένα τέταρτο του αντίστοιχου επιτοκίου, που χρεώνουν κανονικά οι τράπεζες (ή είναι μηδενικό για τρ</w:t>
      </w:r>
      <w:r>
        <w:rPr>
          <w:rFonts w:cstheme="minorHAnsi"/>
          <w:sz w:val="24"/>
          <w:szCs w:val="24"/>
        </w:rPr>
        <w:t>ίτεκνους και πολύτεκνους).</w:t>
      </w:r>
    </w:p>
    <w:p w:rsidR="0098654B" w:rsidRDefault="009B011D">
      <w:pPr>
        <w:jc w:val="both"/>
        <w:rPr>
          <w:rFonts w:cstheme="minorHAnsi"/>
          <w:sz w:val="24"/>
          <w:szCs w:val="24"/>
        </w:rPr>
      </w:pPr>
      <w:r>
        <w:rPr>
          <w:rFonts w:cstheme="minorHAnsi"/>
          <w:sz w:val="24"/>
          <w:szCs w:val="24"/>
        </w:rPr>
        <w:t xml:space="preserve">Ενδεικτικά, για δάνειο ύψους 100.000 ευρώ με διάρκεια αποπληρωμής 30 χρόνια και επιτόκιο 5,8% η μηνιαία δόση διαμορφώνεται κανονικά στα 587,52 ευρώ ενώ με την επιδότηση μειώνεται στα 342,87 ευρώ (όφελος είναι 244,65 ευρώ το μήνα </w:t>
      </w:r>
      <w:r>
        <w:rPr>
          <w:rFonts w:cstheme="minorHAnsi"/>
          <w:sz w:val="24"/>
          <w:szCs w:val="24"/>
        </w:rPr>
        <w:t>ή 2.935 ευρώ το χρόνο) και για τρίτεκνους – πολύτεκνους) η δόση περιορίζεται στα 277,78 ευρώ, (όφελος 309,74 ευρώ το μήνα ή 3.716,88 ευρώ το χρόνο). Αντίστοιχα για το ίδιο δάνειο με μικρότερη περίοδο αποπληρωμής (20 χρόνια) η μηνιαία δόση από 705,63 ευρώ π</w:t>
      </w:r>
      <w:r>
        <w:rPr>
          <w:rFonts w:cstheme="minorHAnsi"/>
          <w:sz w:val="24"/>
          <w:szCs w:val="24"/>
        </w:rPr>
        <w:t>εριορίζεται στα 480,39 ευρώ (όφελος 225,24 ευρώ ή 2.702 ευρώ το χρόνο και για τρίτεκνους – πολύτεκνους η δόση μειώνεται στα 416,67 ευρώ (όφελος 288,96 ευρώ ή 3.467,52 ευρώ το χρόνο).</w:t>
      </w:r>
    </w:p>
    <w:p w:rsidR="0098654B" w:rsidRDefault="009B011D">
      <w:pPr>
        <w:jc w:val="both"/>
        <w:rPr>
          <w:rFonts w:cstheme="minorHAnsi"/>
          <w:sz w:val="24"/>
          <w:szCs w:val="24"/>
        </w:rPr>
      </w:pPr>
      <w:r>
        <w:rPr>
          <w:rFonts w:cstheme="minorHAnsi"/>
          <w:sz w:val="24"/>
          <w:szCs w:val="24"/>
        </w:rPr>
        <w:t>Η επιδότηση του επιτοκίου αποτελεί επίσης ασπίδα, που περιορίζει τις επιπ</w:t>
      </w:r>
      <w:r>
        <w:rPr>
          <w:rFonts w:cstheme="minorHAnsi"/>
          <w:sz w:val="24"/>
          <w:szCs w:val="24"/>
        </w:rPr>
        <w:t xml:space="preserve">τώσεις από τις όποιες αυξήσεις επιτοκίων πραγματοποιηθούν ενδεχομένως διεθνώς το επόμενο διάστημα. </w:t>
      </w:r>
    </w:p>
    <w:p w:rsidR="0098654B" w:rsidRDefault="009B011D">
      <w:pPr>
        <w:jc w:val="both"/>
        <w:rPr>
          <w:rFonts w:cstheme="minorHAnsi"/>
          <w:sz w:val="24"/>
          <w:szCs w:val="24"/>
        </w:rPr>
      </w:pPr>
      <w:r>
        <w:rPr>
          <w:rFonts w:cstheme="minorHAnsi"/>
          <w:b/>
          <w:sz w:val="24"/>
          <w:szCs w:val="24"/>
        </w:rPr>
        <w:t>Δεύτερον</w:t>
      </w:r>
      <w:r>
        <w:rPr>
          <w:rFonts w:cstheme="minorHAnsi"/>
          <w:sz w:val="24"/>
          <w:szCs w:val="24"/>
        </w:rPr>
        <w:t>, μικρότερη ιδιωτική συμμετοχή αφού τα δάνεια καλύπτουν έως και το 90% της εμπορικής αξίας του ακινήτου, έναντι 80% που είναι η συνήθης τραπεζική πρ</w:t>
      </w:r>
      <w:r>
        <w:rPr>
          <w:rFonts w:cstheme="minorHAnsi"/>
          <w:sz w:val="24"/>
          <w:szCs w:val="24"/>
        </w:rPr>
        <w:t>ακτική.</w:t>
      </w:r>
    </w:p>
    <w:p w:rsidR="0098654B" w:rsidRDefault="009B011D">
      <w:pPr>
        <w:jc w:val="both"/>
        <w:rPr>
          <w:rFonts w:cstheme="minorHAnsi"/>
          <w:sz w:val="24"/>
          <w:szCs w:val="24"/>
        </w:rPr>
      </w:pPr>
      <w:r>
        <w:rPr>
          <w:rFonts w:cstheme="minorHAnsi"/>
          <w:b/>
          <w:sz w:val="24"/>
          <w:szCs w:val="24"/>
        </w:rPr>
        <w:t>Τρίτον</w:t>
      </w:r>
      <w:r>
        <w:rPr>
          <w:rFonts w:cstheme="minorHAnsi"/>
          <w:sz w:val="24"/>
          <w:szCs w:val="24"/>
        </w:rPr>
        <w:t>, αποκτούν πρόσβαση σε τραπεζική χρηματοδότηση νέοι και ζευγάρια με χαμηλά εισοδήματα, από 10.000 ευρώ, που υπό διαφορετικές συνθήκες δύσκολα θα πληρούσαν τα τραπεζικά κριτήρια.</w:t>
      </w:r>
    </w:p>
    <w:p w:rsidR="0098654B" w:rsidRDefault="009B011D">
      <w:pPr>
        <w:jc w:val="both"/>
        <w:rPr>
          <w:rFonts w:cstheme="minorHAnsi"/>
          <w:sz w:val="24"/>
          <w:szCs w:val="24"/>
        </w:rPr>
      </w:pPr>
      <w:r>
        <w:rPr>
          <w:rFonts w:cstheme="minorHAnsi"/>
          <w:b/>
          <w:sz w:val="24"/>
          <w:szCs w:val="24"/>
        </w:rPr>
        <w:t>Τέταρτον</w:t>
      </w:r>
      <w:r>
        <w:rPr>
          <w:rFonts w:cstheme="minorHAnsi"/>
          <w:sz w:val="24"/>
          <w:szCs w:val="24"/>
        </w:rPr>
        <w:t>, τα δάνεια απαλλάσσονται από την εισφορά 0,12% του νόμο</w:t>
      </w:r>
      <w:r>
        <w:rPr>
          <w:rFonts w:cstheme="minorHAnsi"/>
          <w:sz w:val="24"/>
          <w:szCs w:val="24"/>
        </w:rPr>
        <w:t>υ 128/75.</w:t>
      </w:r>
    </w:p>
    <w:p w:rsidR="0098654B" w:rsidRDefault="009B011D">
      <w:pPr>
        <w:jc w:val="both"/>
        <w:rPr>
          <w:rFonts w:cstheme="minorHAnsi"/>
          <w:sz w:val="24"/>
          <w:szCs w:val="24"/>
        </w:rPr>
      </w:pPr>
      <w:r>
        <w:rPr>
          <w:rFonts w:cstheme="minorHAnsi"/>
          <w:b/>
          <w:sz w:val="24"/>
          <w:szCs w:val="24"/>
        </w:rPr>
        <w:lastRenderedPageBreak/>
        <w:t>Πέμπτον</w:t>
      </w:r>
      <w:r>
        <w:rPr>
          <w:rFonts w:cstheme="minorHAnsi"/>
          <w:sz w:val="24"/>
          <w:szCs w:val="24"/>
        </w:rPr>
        <w:t>, το πρόγραμμα καλύπτει το πρόγραμμα καλύπτει τα έξοδα φακέλου για κάθε δυνητικό δανειολήπτη.</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2. Ποια άλλα προγράμματα στεγαστικής πολιτικής υλοποιεί το υπουργείο Εργασίας και Κοινωνικών Υποθέσεων;</w:t>
      </w:r>
    </w:p>
    <w:p w:rsidR="0098654B" w:rsidRDefault="009B011D">
      <w:pPr>
        <w:jc w:val="both"/>
        <w:rPr>
          <w:rFonts w:cstheme="minorHAnsi"/>
          <w:sz w:val="24"/>
          <w:szCs w:val="24"/>
        </w:rPr>
      </w:pPr>
      <w:r>
        <w:rPr>
          <w:rFonts w:cstheme="minorHAnsi"/>
          <w:sz w:val="24"/>
          <w:szCs w:val="24"/>
        </w:rPr>
        <w:t xml:space="preserve">Τις επόμενες ημέρες ξεκινά το πρόγραμμα </w:t>
      </w:r>
      <w:r>
        <w:rPr>
          <w:rFonts w:cstheme="minorHAnsi"/>
          <w:sz w:val="24"/>
          <w:szCs w:val="24"/>
        </w:rPr>
        <w:t xml:space="preserve">«Κάλυψη» για τη μίσθωση ιδιωτικών κατοικιών και την διάθεσή σε ωφελούμενους νέους δικαιούχους του ελάχιστου εγγυημένου εισοδήματος </w:t>
      </w:r>
      <w:r>
        <w:rPr>
          <w:sz w:val="24"/>
          <w:szCs w:val="24"/>
        </w:rPr>
        <w:t xml:space="preserve">με καταβολή του ενοικίου από το Δημόσιο. Ακολουθούν η κοινωνική αντιπαροχή που αποσκοπεί </w:t>
      </w:r>
      <w:r>
        <w:rPr>
          <w:rFonts w:cstheme="minorHAnsi"/>
          <w:sz w:val="24"/>
          <w:szCs w:val="24"/>
        </w:rPr>
        <w:t>στην αξιοποίηση ακινήτων του Δημοσίο</w:t>
      </w:r>
      <w:r>
        <w:rPr>
          <w:rFonts w:cstheme="minorHAnsi"/>
          <w:sz w:val="24"/>
          <w:szCs w:val="24"/>
        </w:rPr>
        <w:t>υ για εξασφάλιση ποιοτικής κατοικίας με χαμηλό ενοίκιο και η δράση «Ανακαινίζω – Νοικιάζω» μέσω της οποίας επιδοτείται η ανακαίνιση ιδιωτικών κατοικιών προκειμένου να διατεθούν στη συνέχεια για μίσθωση.</w:t>
      </w:r>
    </w:p>
    <w:p w:rsidR="0098654B" w:rsidRDefault="009B011D">
      <w:pPr>
        <w:jc w:val="both"/>
        <w:rPr>
          <w:rFonts w:cstheme="minorHAnsi"/>
          <w:sz w:val="24"/>
          <w:szCs w:val="24"/>
        </w:rPr>
      </w:pPr>
      <w:r>
        <w:rPr>
          <w:rFonts w:cstheme="minorHAnsi"/>
          <w:sz w:val="24"/>
          <w:szCs w:val="24"/>
        </w:rPr>
        <w:t>Τα προγράμματα αυτά σηματοδοτούν την επανεκκίνηση της</w:t>
      </w:r>
      <w:r>
        <w:rPr>
          <w:rFonts w:cstheme="minorHAnsi"/>
          <w:sz w:val="24"/>
          <w:szCs w:val="24"/>
        </w:rPr>
        <w:t xml:space="preserve"> στεγαστικής πολιτικής του κράτους με έμφαση στους νέους, τα νέα ζευγάρια και τις ευάλωτες ομάδες πολιτών. Η στρατηγική κοινωνικής στέγασης περιλαμβάνει δράσεις συνολικού ύψους 1,75 δισεκ. ευρώ από τα οποία εκτιμάται ότι θα ωφεληθούν περί τους 137.000 δικα</w:t>
      </w:r>
      <w:r>
        <w:rPr>
          <w:rFonts w:cstheme="minorHAnsi"/>
          <w:sz w:val="24"/>
          <w:szCs w:val="24"/>
        </w:rPr>
        <w:t>ιούχους που θα εξασφαλίσουν προσιτή κατοικία υψηλών ποιοτικών προδιαγραφών. Παράλληλα με τις δράσεις στεγαστικής πολιτικής αυξάνεται η απασχόληση και η οικονομική δραστηριότητα, ενώ αξιοποιείται δημόσια και ιδιωτική περιουσία με εθνικούς και κοινοτικούς πό</w:t>
      </w:r>
      <w:r>
        <w:rPr>
          <w:rFonts w:cstheme="minorHAnsi"/>
          <w:sz w:val="24"/>
          <w:szCs w:val="24"/>
        </w:rPr>
        <w:t>ρους και με γνώμονα τις βέλτιστες πρακτικές στις χώρες της ΕΕ.</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3. Ποια είναι τα βασικά χαρακτηριστικά των δανείων;</w:t>
      </w:r>
    </w:p>
    <w:p w:rsidR="0098654B" w:rsidRDefault="009B011D">
      <w:pPr>
        <w:jc w:val="both"/>
        <w:rPr>
          <w:rFonts w:cstheme="minorHAnsi"/>
          <w:sz w:val="24"/>
          <w:szCs w:val="24"/>
        </w:rPr>
      </w:pPr>
      <w:r>
        <w:rPr>
          <w:rFonts w:cstheme="minorHAnsi"/>
          <w:sz w:val="24"/>
          <w:szCs w:val="24"/>
        </w:rPr>
        <w:t>Πρόκειται για δάνεια αγοράς πρώτης κατοικίας, που καλύπτουν έως και το 90% της εμπορικής αξίας του ακινήτου με ανώτατο όριο τις 150.000 ευρώ</w:t>
      </w:r>
      <w:r>
        <w:rPr>
          <w:rFonts w:cstheme="minorHAnsi"/>
          <w:sz w:val="24"/>
          <w:szCs w:val="24"/>
        </w:rPr>
        <w:t>, με διάρκεια έως και 30 έτη, χωρίς περίοδο χάριτος, με χαμηλό ή μηδενικό επιτόκιο. Τα αρχικά επιτόκια (από τα οποία αφαιρείται η επιδότηση που προβλέπει το πρόγραμμα) ανακοινώθηκαν από τις τράπεζες που συμμετέχουν στο πρόγραμμα και έχουν ως εξής:</w:t>
      </w:r>
    </w:p>
    <w:tbl>
      <w:tblPr>
        <w:tblStyle w:val="af"/>
        <w:tblW w:w="8291" w:type="dxa"/>
        <w:tblLook w:val="04A0"/>
      </w:tblPr>
      <w:tblGrid>
        <w:gridCol w:w="2073"/>
        <w:gridCol w:w="2073"/>
        <w:gridCol w:w="2072"/>
        <w:gridCol w:w="2073"/>
      </w:tblGrid>
      <w:tr w:rsidR="0098654B">
        <w:tc>
          <w:tcPr>
            <w:tcW w:w="2072" w:type="dxa"/>
          </w:tcPr>
          <w:p w:rsidR="0098654B" w:rsidRDefault="0098654B">
            <w:pPr>
              <w:spacing w:after="0" w:line="240" w:lineRule="auto"/>
            </w:pPr>
          </w:p>
        </w:tc>
        <w:tc>
          <w:tcPr>
            <w:tcW w:w="2073" w:type="dxa"/>
            <w:vAlign w:val="center"/>
          </w:tcPr>
          <w:p w:rsidR="0098654B" w:rsidRDefault="009B011D">
            <w:pPr>
              <w:spacing w:after="0" w:line="240" w:lineRule="auto"/>
              <w:jc w:val="center"/>
              <w:rPr>
                <w:b/>
                <w:bCs/>
              </w:rPr>
            </w:pPr>
            <w:r>
              <w:rPr>
                <w:b/>
                <w:bCs/>
              </w:rPr>
              <w:t>Σταθερό</w:t>
            </w:r>
            <w:r>
              <w:rPr>
                <w:b/>
                <w:bCs/>
              </w:rPr>
              <w:t xml:space="preserve"> επιτόκιο</w:t>
            </w:r>
          </w:p>
        </w:tc>
        <w:tc>
          <w:tcPr>
            <w:tcW w:w="2072" w:type="dxa"/>
            <w:vAlign w:val="center"/>
          </w:tcPr>
          <w:p w:rsidR="0098654B" w:rsidRDefault="009B011D">
            <w:pPr>
              <w:spacing w:after="0" w:line="240" w:lineRule="auto"/>
              <w:jc w:val="center"/>
              <w:rPr>
                <w:b/>
                <w:bCs/>
              </w:rPr>
            </w:pPr>
            <w:r>
              <w:rPr>
                <w:b/>
                <w:bCs/>
              </w:rPr>
              <w:t>Κυμαινόμενο επιτόκιο</w:t>
            </w:r>
          </w:p>
        </w:tc>
        <w:tc>
          <w:tcPr>
            <w:tcW w:w="2073" w:type="dxa"/>
            <w:vAlign w:val="center"/>
          </w:tcPr>
          <w:p w:rsidR="0098654B" w:rsidRDefault="009B011D">
            <w:pPr>
              <w:spacing w:after="0" w:line="240" w:lineRule="auto"/>
              <w:jc w:val="center"/>
              <w:rPr>
                <w:b/>
                <w:bCs/>
              </w:rPr>
            </w:pPr>
            <w:r>
              <w:rPr>
                <w:b/>
                <w:bCs/>
              </w:rPr>
              <w:t>Περιθώριο</w:t>
            </w:r>
          </w:p>
        </w:tc>
      </w:tr>
      <w:tr w:rsidR="0098654B">
        <w:tc>
          <w:tcPr>
            <w:tcW w:w="2072" w:type="dxa"/>
          </w:tcPr>
          <w:p w:rsidR="0098654B" w:rsidRDefault="009B011D">
            <w:pPr>
              <w:spacing w:after="0" w:line="240" w:lineRule="auto"/>
              <w:rPr>
                <w:b/>
                <w:bCs/>
                <w:lang w:val="en-US"/>
              </w:rPr>
            </w:pPr>
            <w:r>
              <w:rPr>
                <w:b/>
                <w:bCs/>
                <w:lang w:val="en-US"/>
              </w:rPr>
              <w:t>Alpha Bank</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rPr>
                <w:lang w:val="en-US"/>
              </w:rPr>
            </w:pPr>
            <w:r>
              <w:rPr>
                <w:lang w:val="en-US"/>
              </w:rPr>
              <w:t>Euribor 3M</w:t>
            </w:r>
          </w:p>
        </w:tc>
        <w:tc>
          <w:tcPr>
            <w:tcW w:w="2073" w:type="dxa"/>
            <w:vAlign w:val="center"/>
          </w:tcPr>
          <w:p w:rsidR="0098654B" w:rsidRDefault="009B011D">
            <w:pPr>
              <w:spacing w:after="0" w:line="240" w:lineRule="auto"/>
              <w:jc w:val="center"/>
              <w:rPr>
                <w:lang w:val="en-US"/>
              </w:rPr>
            </w:pPr>
            <w:r>
              <w:rPr>
                <w:lang w:val="en-US"/>
              </w:rPr>
              <w:t>2,2%</w:t>
            </w:r>
          </w:p>
        </w:tc>
      </w:tr>
      <w:tr w:rsidR="0098654B">
        <w:tc>
          <w:tcPr>
            <w:tcW w:w="2072" w:type="dxa"/>
          </w:tcPr>
          <w:p w:rsidR="0098654B" w:rsidRDefault="009B011D">
            <w:pPr>
              <w:spacing w:after="0" w:line="240" w:lineRule="auto"/>
              <w:rPr>
                <w:b/>
                <w:bCs/>
                <w:lang w:val="en-US"/>
              </w:rPr>
            </w:pPr>
            <w:r>
              <w:rPr>
                <w:b/>
                <w:bCs/>
                <w:lang w:val="en-US"/>
              </w:rPr>
              <w:t>Eurobank</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3M</w:t>
            </w:r>
          </w:p>
        </w:tc>
        <w:tc>
          <w:tcPr>
            <w:tcW w:w="2073" w:type="dxa"/>
            <w:vAlign w:val="center"/>
          </w:tcPr>
          <w:p w:rsidR="0098654B" w:rsidRDefault="009B011D">
            <w:pPr>
              <w:spacing w:after="0" w:line="240" w:lineRule="auto"/>
              <w:jc w:val="center"/>
              <w:rPr>
                <w:lang w:val="en-US"/>
              </w:rPr>
            </w:pPr>
            <w:r>
              <w:rPr>
                <w:lang w:val="en-US"/>
              </w:rPr>
              <w:t>1%-4%</w:t>
            </w:r>
          </w:p>
        </w:tc>
      </w:tr>
      <w:tr w:rsidR="0098654B">
        <w:tc>
          <w:tcPr>
            <w:tcW w:w="2072" w:type="dxa"/>
          </w:tcPr>
          <w:p w:rsidR="0098654B" w:rsidRDefault="009B011D">
            <w:pPr>
              <w:spacing w:after="0" w:line="240" w:lineRule="auto"/>
              <w:rPr>
                <w:b/>
                <w:bCs/>
              </w:rPr>
            </w:pPr>
            <w:r>
              <w:rPr>
                <w:b/>
                <w:bCs/>
              </w:rPr>
              <w:t>Εθνική</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3M</w:t>
            </w:r>
          </w:p>
        </w:tc>
        <w:tc>
          <w:tcPr>
            <w:tcW w:w="2073" w:type="dxa"/>
            <w:vAlign w:val="center"/>
          </w:tcPr>
          <w:p w:rsidR="0098654B" w:rsidRDefault="009B011D">
            <w:pPr>
              <w:spacing w:after="0" w:line="240" w:lineRule="auto"/>
              <w:jc w:val="center"/>
              <w:rPr>
                <w:lang w:val="en-US"/>
              </w:rPr>
            </w:pPr>
            <w:r>
              <w:rPr>
                <w:lang w:val="en-US"/>
              </w:rPr>
              <w:t>2%-2,5%</w:t>
            </w:r>
          </w:p>
        </w:tc>
      </w:tr>
      <w:tr w:rsidR="0098654B">
        <w:tc>
          <w:tcPr>
            <w:tcW w:w="2072" w:type="dxa"/>
          </w:tcPr>
          <w:p w:rsidR="0098654B" w:rsidRDefault="009B011D">
            <w:pPr>
              <w:spacing w:after="0" w:line="240" w:lineRule="auto"/>
              <w:rPr>
                <w:b/>
                <w:bCs/>
              </w:rPr>
            </w:pPr>
            <w:r>
              <w:rPr>
                <w:b/>
                <w:bCs/>
              </w:rPr>
              <w:t>Τράπεζα Πειραιώς</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1M</w:t>
            </w:r>
          </w:p>
        </w:tc>
        <w:tc>
          <w:tcPr>
            <w:tcW w:w="2073" w:type="dxa"/>
            <w:vAlign w:val="center"/>
          </w:tcPr>
          <w:p w:rsidR="0098654B" w:rsidRDefault="009B011D">
            <w:pPr>
              <w:spacing w:after="0" w:line="240" w:lineRule="auto"/>
              <w:jc w:val="center"/>
              <w:rPr>
                <w:lang w:val="en-US"/>
              </w:rPr>
            </w:pPr>
            <w:r>
              <w:rPr>
                <w:lang w:val="en-US"/>
              </w:rPr>
              <w:t>2,5%</w:t>
            </w:r>
          </w:p>
        </w:tc>
      </w:tr>
      <w:tr w:rsidR="0098654B">
        <w:tc>
          <w:tcPr>
            <w:tcW w:w="2072" w:type="dxa"/>
          </w:tcPr>
          <w:p w:rsidR="0098654B" w:rsidRDefault="009B011D">
            <w:pPr>
              <w:spacing w:after="0" w:line="240" w:lineRule="auto"/>
              <w:rPr>
                <w:b/>
                <w:bCs/>
              </w:rPr>
            </w:pPr>
            <w:r>
              <w:rPr>
                <w:b/>
                <w:bCs/>
              </w:rPr>
              <w:t>Παγκρήτια</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3M</w:t>
            </w:r>
          </w:p>
        </w:tc>
        <w:tc>
          <w:tcPr>
            <w:tcW w:w="2073" w:type="dxa"/>
            <w:vAlign w:val="center"/>
          </w:tcPr>
          <w:p w:rsidR="0098654B" w:rsidRDefault="009B011D">
            <w:pPr>
              <w:spacing w:after="0" w:line="240" w:lineRule="auto"/>
              <w:jc w:val="center"/>
              <w:rPr>
                <w:lang w:val="en-US"/>
              </w:rPr>
            </w:pPr>
            <w:r>
              <w:rPr>
                <w:lang w:val="en-US"/>
              </w:rPr>
              <w:t>1,5%-2%</w:t>
            </w:r>
          </w:p>
        </w:tc>
      </w:tr>
      <w:tr w:rsidR="0098654B">
        <w:tc>
          <w:tcPr>
            <w:tcW w:w="2072" w:type="dxa"/>
          </w:tcPr>
          <w:p w:rsidR="0098654B" w:rsidRDefault="009B011D">
            <w:pPr>
              <w:spacing w:after="0" w:line="240" w:lineRule="auto"/>
              <w:rPr>
                <w:b/>
                <w:bCs/>
              </w:rPr>
            </w:pPr>
            <w:r>
              <w:rPr>
                <w:b/>
                <w:bCs/>
              </w:rPr>
              <w:t>Συνεταιριστική Τράπεζα Ηπείρου</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3M</w:t>
            </w:r>
          </w:p>
        </w:tc>
        <w:tc>
          <w:tcPr>
            <w:tcW w:w="2073" w:type="dxa"/>
            <w:vAlign w:val="center"/>
          </w:tcPr>
          <w:p w:rsidR="0098654B" w:rsidRDefault="009B011D">
            <w:pPr>
              <w:spacing w:after="0" w:line="240" w:lineRule="auto"/>
              <w:jc w:val="center"/>
              <w:rPr>
                <w:lang w:val="en-US"/>
              </w:rPr>
            </w:pPr>
            <w:r>
              <w:rPr>
                <w:lang w:val="en-US"/>
              </w:rPr>
              <w:t>2%-3,5%</w:t>
            </w:r>
          </w:p>
        </w:tc>
      </w:tr>
      <w:tr w:rsidR="0098654B">
        <w:tc>
          <w:tcPr>
            <w:tcW w:w="2072" w:type="dxa"/>
          </w:tcPr>
          <w:p w:rsidR="0098654B" w:rsidRDefault="009B011D">
            <w:pPr>
              <w:spacing w:after="0" w:line="240" w:lineRule="auto"/>
              <w:rPr>
                <w:b/>
                <w:bCs/>
              </w:rPr>
            </w:pPr>
            <w:r>
              <w:rPr>
                <w:b/>
                <w:bCs/>
              </w:rPr>
              <w:t>Συνεταιριστική Τράπεζα Θεσσαλίας</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1M</w:t>
            </w:r>
          </w:p>
        </w:tc>
        <w:tc>
          <w:tcPr>
            <w:tcW w:w="2073" w:type="dxa"/>
            <w:vAlign w:val="center"/>
          </w:tcPr>
          <w:p w:rsidR="0098654B" w:rsidRDefault="009B011D">
            <w:pPr>
              <w:spacing w:after="0" w:line="240" w:lineRule="auto"/>
              <w:jc w:val="center"/>
              <w:rPr>
                <w:lang w:val="en-US"/>
              </w:rPr>
            </w:pPr>
            <w:r>
              <w:rPr>
                <w:lang w:val="en-US"/>
              </w:rPr>
              <w:t>2%-4%</w:t>
            </w:r>
          </w:p>
        </w:tc>
      </w:tr>
      <w:tr w:rsidR="0098654B">
        <w:tc>
          <w:tcPr>
            <w:tcW w:w="2072" w:type="dxa"/>
          </w:tcPr>
          <w:p w:rsidR="0098654B" w:rsidRDefault="009B011D">
            <w:pPr>
              <w:spacing w:after="0" w:line="240" w:lineRule="auto"/>
              <w:rPr>
                <w:b/>
                <w:bCs/>
              </w:rPr>
            </w:pPr>
            <w:r>
              <w:rPr>
                <w:b/>
                <w:bCs/>
              </w:rPr>
              <w:t xml:space="preserve">Συνεταιριστική </w:t>
            </w:r>
            <w:r>
              <w:rPr>
                <w:b/>
                <w:bCs/>
              </w:rPr>
              <w:lastRenderedPageBreak/>
              <w:t>Τράπεζα Καρδίτσας</w:t>
            </w:r>
          </w:p>
        </w:tc>
        <w:tc>
          <w:tcPr>
            <w:tcW w:w="2073" w:type="dxa"/>
            <w:vAlign w:val="center"/>
          </w:tcPr>
          <w:p w:rsidR="0098654B" w:rsidRDefault="009B011D">
            <w:pPr>
              <w:spacing w:after="0" w:line="240" w:lineRule="auto"/>
              <w:jc w:val="center"/>
            </w:pPr>
            <w:r>
              <w:lastRenderedPageBreak/>
              <w:t>5%</w:t>
            </w:r>
          </w:p>
        </w:tc>
        <w:tc>
          <w:tcPr>
            <w:tcW w:w="2072" w:type="dxa"/>
            <w:vAlign w:val="center"/>
          </w:tcPr>
          <w:p w:rsidR="0098654B" w:rsidRDefault="0098654B">
            <w:pPr>
              <w:spacing w:after="0" w:line="240" w:lineRule="auto"/>
              <w:jc w:val="center"/>
            </w:pPr>
          </w:p>
        </w:tc>
        <w:tc>
          <w:tcPr>
            <w:tcW w:w="2073" w:type="dxa"/>
            <w:vAlign w:val="center"/>
          </w:tcPr>
          <w:p w:rsidR="0098654B" w:rsidRDefault="0098654B">
            <w:pPr>
              <w:spacing w:after="0" w:line="240" w:lineRule="auto"/>
              <w:jc w:val="center"/>
            </w:pPr>
          </w:p>
        </w:tc>
      </w:tr>
      <w:tr w:rsidR="0098654B">
        <w:tc>
          <w:tcPr>
            <w:tcW w:w="2072" w:type="dxa"/>
          </w:tcPr>
          <w:p w:rsidR="0098654B" w:rsidRDefault="009B011D">
            <w:pPr>
              <w:spacing w:after="0" w:line="240" w:lineRule="auto"/>
              <w:rPr>
                <w:b/>
                <w:bCs/>
              </w:rPr>
            </w:pPr>
            <w:r>
              <w:rPr>
                <w:b/>
                <w:bCs/>
              </w:rPr>
              <w:lastRenderedPageBreak/>
              <w:t>Συνεταιριστική Τράπεζα Χανίων</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3M</w:t>
            </w:r>
          </w:p>
        </w:tc>
        <w:tc>
          <w:tcPr>
            <w:tcW w:w="2073" w:type="dxa"/>
            <w:vAlign w:val="center"/>
          </w:tcPr>
          <w:p w:rsidR="0098654B" w:rsidRDefault="009B011D">
            <w:pPr>
              <w:spacing w:after="0" w:line="240" w:lineRule="auto"/>
              <w:jc w:val="center"/>
              <w:rPr>
                <w:lang w:val="en-US"/>
              </w:rPr>
            </w:pPr>
            <w:r>
              <w:rPr>
                <w:lang w:val="en-US"/>
              </w:rPr>
              <w:t>1,5%-4,9%</w:t>
            </w:r>
          </w:p>
        </w:tc>
      </w:tr>
      <w:tr w:rsidR="0098654B">
        <w:tc>
          <w:tcPr>
            <w:tcW w:w="2072" w:type="dxa"/>
          </w:tcPr>
          <w:p w:rsidR="0098654B" w:rsidRDefault="009B011D">
            <w:pPr>
              <w:spacing w:after="0" w:line="240" w:lineRule="auto"/>
              <w:rPr>
                <w:b/>
                <w:bCs/>
                <w:lang w:val="en-US"/>
              </w:rPr>
            </w:pPr>
            <w:r>
              <w:rPr>
                <w:b/>
                <w:bCs/>
              </w:rPr>
              <w:t xml:space="preserve"> </w:t>
            </w:r>
            <w:r>
              <w:rPr>
                <w:b/>
                <w:bCs/>
                <w:lang w:val="en-US"/>
              </w:rPr>
              <w:t>Attica Bank</w:t>
            </w:r>
          </w:p>
        </w:tc>
        <w:tc>
          <w:tcPr>
            <w:tcW w:w="2073" w:type="dxa"/>
            <w:vAlign w:val="center"/>
          </w:tcPr>
          <w:p w:rsidR="0098654B" w:rsidRDefault="0098654B">
            <w:pPr>
              <w:spacing w:after="0" w:line="240" w:lineRule="auto"/>
              <w:jc w:val="center"/>
            </w:pPr>
          </w:p>
        </w:tc>
        <w:tc>
          <w:tcPr>
            <w:tcW w:w="2072" w:type="dxa"/>
            <w:vAlign w:val="center"/>
          </w:tcPr>
          <w:p w:rsidR="0098654B" w:rsidRDefault="009B011D">
            <w:pPr>
              <w:spacing w:after="0" w:line="240" w:lineRule="auto"/>
              <w:jc w:val="center"/>
            </w:pPr>
            <w:r>
              <w:rPr>
                <w:lang w:val="en-US"/>
              </w:rPr>
              <w:t>Euribor 3M</w:t>
            </w:r>
          </w:p>
        </w:tc>
        <w:tc>
          <w:tcPr>
            <w:tcW w:w="2073" w:type="dxa"/>
            <w:vAlign w:val="center"/>
          </w:tcPr>
          <w:p w:rsidR="0098654B" w:rsidRDefault="009B011D">
            <w:pPr>
              <w:spacing w:after="0" w:line="240" w:lineRule="auto"/>
              <w:jc w:val="center"/>
              <w:rPr>
                <w:lang w:val="en-US"/>
              </w:rPr>
            </w:pPr>
            <w:r>
              <w:rPr>
                <w:lang w:val="en-US"/>
              </w:rPr>
              <w:t>2,9%-4%</w:t>
            </w:r>
          </w:p>
        </w:tc>
      </w:tr>
    </w:tbl>
    <w:p w:rsidR="0098654B" w:rsidRDefault="0098654B">
      <w:pPr>
        <w:jc w:val="both"/>
        <w:rPr>
          <w:rFonts w:cstheme="minorHAnsi"/>
          <w:sz w:val="24"/>
          <w:szCs w:val="24"/>
        </w:rPr>
      </w:pPr>
    </w:p>
    <w:p w:rsidR="0098654B" w:rsidRDefault="009B011D">
      <w:pPr>
        <w:jc w:val="both"/>
        <w:rPr>
          <w:rFonts w:cstheme="minorHAnsi"/>
          <w:sz w:val="24"/>
          <w:szCs w:val="24"/>
        </w:rPr>
      </w:pPr>
      <w:r>
        <w:rPr>
          <w:rFonts w:cstheme="minorHAnsi"/>
          <w:sz w:val="24"/>
          <w:szCs w:val="24"/>
        </w:rPr>
        <w:t>Το επιτόκιο αναφοράς (</w:t>
      </w:r>
      <w:r>
        <w:rPr>
          <w:rFonts w:cstheme="minorHAnsi"/>
          <w:sz w:val="24"/>
          <w:szCs w:val="24"/>
          <w:lang w:val="en-US"/>
        </w:rPr>
        <w:t>Euribor</w:t>
      </w:r>
      <w:r>
        <w:rPr>
          <w:rFonts w:cstheme="minorHAnsi"/>
          <w:sz w:val="24"/>
          <w:szCs w:val="24"/>
        </w:rPr>
        <w:t>) κυμαίνεται αυτήν την περίοδο κοντά στο 3%.</w:t>
      </w:r>
    </w:p>
    <w:p w:rsidR="0098654B" w:rsidRDefault="0098654B">
      <w:pPr>
        <w:jc w:val="both"/>
        <w:rPr>
          <w:rFonts w:cstheme="minorHAnsi"/>
          <w:b/>
          <w:sz w:val="24"/>
          <w:szCs w:val="24"/>
        </w:rPr>
      </w:pPr>
    </w:p>
    <w:p w:rsidR="0098654B" w:rsidRDefault="009B011D">
      <w:pPr>
        <w:jc w:val="both"/>
        <w:rPr>
          <w:rFonts w:cstheme="minorHAnsi"/>
          <w:b/>
          <w:sz w:val="24"/>
          <w:szCs w:val="24"/>
        </w:rPr>
      </w:pPr>
      <w:r>
        <w:rPr>
          <w:rFonts w:cstheme="minorHAnsi"/>
          <w:b/>
          <w:sz w:val="24"/>
          <w:szCs w:val="24"/>
        </w:rPr>
        <w:t xml:space="preserve">4. Ποιες κατηγορίες ακινήτων μπορούν να ενταχθούν στο πρόγραμμα; </w:t>
      </w:r>
    </w:p>
    <w:p w:rsidR="0098654B" w:rsidRDefault="009B011D">
      <w:pPr>
        <w:jc w:val="both"/>
        <w:rPr>
          <w:rFonts w:cstheme="minorHAnsi"/>
          <w:sz w:val="24"/>
          <w:szCs w:val="24"/>
        </w:rPr>
      </w:pPr>
      <w:r>
        <w:rPr>
          <w:rFonts w:cstheme="minorHAnsi"/>
          <w:sz w:val="24"/>
          <w:szCs w:val="24"/>
        </w:rPr>
        <w:t>Όπως προβλέπεται στο άρθρο 4 του ν. 5006/2022 (Α’ 239), το Πρόγραμμα υποστηρίζει τη δανειοδότηση για ακίνητα που</w:t>
      </w:r>
    </w:p>
    <w:p w:rsidR="0098654B" w:rsidRDefault="009B011D">
      <w:pPr>
        <w:jc w:val="both"/>
        <w:rPr>
          <w:rFonts w:cstheme="minorHAnsi"/>
          <w:sz w:val="24"/>
          <w:szCs w:val="24"/>
        </w:rPr>
      </w:pPr>
      <w:r>
        <w:rPr>
          <w:rFonts w:cstheme="minorHAnsi"/>
          <w:sz w:val="24"/>
          <w:szCs w:val="24"/>
        </w:rPr>
        <w:t>i) θα χρησιμοποιηθούν ως κύρια κατοικία,</w:t>
      </w:r>
    </w:p>
    <w:p w:rsidR="0098654B" w:rsidRDefault="009B011D">
      <w:pPr>
        <w:jc w:val="both"/>
        <w:rPr>
          <w:rFonts w:cstheme="minorHAnsi"/>
          <w:sz w:val="24"/>
          <w:szCs w:val="24"/>
        </w:rPr>
      </w:pPr>
      <w:r>
        <w:rPr>
          <w:rFonts w:cstheme="minorHAnsi"/>
          <w:sz w:val="24"/>
          <w:szCs w:val="24"/>
        </w:rPr>
        <w:t xml:space="preserve">ii) έχουν εμπορική αξία έως 200.000 </w:t>
      </w:r>
      <w:r>
        <w:rPr>
          <w:rFonts w:cstheme="minorHAnsi"/>
          <w:sz w:val="24"/>
          <w:szCs w:val="24"/>
        </w:rPr>
        <w:t>ευρώ. (όπως αυτή αποτυπώνεται στο συμβόλαιο αγοράς),</w:t>
      </w:r>
    </w:p>
    <w:p w:rsidR="0098654B" w:rsidRDefault="009B011D">
      <w:pPr>
        <w:jc w:val="both"/>
        <w:rPr>
          <w:rFonts w:cstheme="minorHAnsi"/>
          <w:sz w:val="24"/>
          <w:szCs w:val="24"/>
        </w:rPr>
      </w:pPr>
      <w:r>
        <w:rPr>
          <w:rFonts w:cstheme="minorHAnsi"/>
          <w:sz w:val="24"/>
          <w:szCs w:val="24"/>
        </w:rPr>
        <w:t>iii) έχουν μέγεθος έως 150τ.μ.,</w:t>
      </w:r>
    </w:p>
    <w:p w:rsidR="0098654B" w:rsidRDefault="009B011D">
      <w:pPr>
        <w:jc w:val="both"/>
        <w:rPr>
          <w:rFonts w:cstheme="minorHAnsi"/>
          <w:sz w:val="24"/>
          <w:szCs w:val="24"/>
        </w:rPr>
      </w:pPr>
      <w:r>
        <w:rPr>
          <w:rFonts w:cstheme="minorHAnsi"/>
          <w:sz w:val="24"/>
          <w:szCs w:val="24"/>
        </w:rPr>
        <w:t>iv) έχουν παλαιότητα τουλάχιστον δεκαπέντε έτη κατά τον χρόνο της αγοράς, όπως προκύπτει από την άδεια κατασκευής και</w:t>
      </w:r>
    </w:p>
    <w:p w:rsidR="0098654B" w:rsidRDefault="009B011D">
      <w:pPr>
        <w:jc w:val="both"/>
        <w:rPr>
          <w:rFonts w:cstheme="minorHAnsi"/>
          <w:sz w:val="24"/>
          <w:szCs w:val="24"/>
        </w:rPr>
      </w:pPr>
      <w:r>
        <w:rPr>
          <w:rFonts w:cstheme="minorHAnsi"/>
          <w:sz w:val="24"/>
          <w:szCs w:val="24"/>
        </w:rPr>
        <w:t>v) βρίσκονται εντός οικιστικής περιοχής.</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 xml:space="preserve">5. Τα όρια </w:t>
      </w:r>
      <w:r>
        <w:rPr>
          <w:rFonts w:cstheme="minorHAnsi"/>
          <w:b/>
          <w:sz w:val="24"/>
          <w:szCs w:val="24"/>
        </w:rPr>
        <w:t>που έχον τεθεί για την αξία των σπιτιών και το ύψος του δανείου είναι ρεαλιστικά; Υπάρχουν διαθέσιμα ακίνητα για να εφαρμοστεί το πρόγραμμα στην πράξη;</w:t>
      </w:r>
    </w:p>
    <w:p w:rsidR="0098654B" w:rsidRDefault="009B011D">
      <w:pPr>
        <w:jc w:val="both"/>
        <w:rPr>
          <w:rFonts w:cstheme="minorHAnsi"/>
          <w:sz w:val="24"/>
          <w:szCs w:val="24"/>
        </w:rPr>
      </w:pPr>
      <w:r>
        <w:rPr>
          <w:rFonts w:cstheme="minorHAnsi"/>
          <w:sz w:val="24"/>
          <w:szCs w:val="24"/>
        </w:rPr>
        <w:t>Στην μεγάλη πλειονότητα των περιοχών, τόσο στο κέντρο όσο και στα προάστεια αλλά και στην περιφέρεια υπά</w:t>
      </w:r>
      <w:r>
        <w:rPr>
          <w:rFonts w:cstheme="minorHAnsi"/>
          <w:sz w:val="24"/>
          <w:szCs w:val="24"/>
        </w:rPr>
        <w:t>ρχουν διαθέσιμα ακίνητα με αυτά τα χαρακτηριστικά. Αυτό πιστοποιείται και από πρόσφατη έρευνα – με αφορμή την ανακοίνωση του προγράμματος των στεγαστικών δανείων – που πραγματοποίησε δίκτυο μεσιτικών γραφείων. Σύμφωνα με την έρευνα αυτή τα διαθέσιμα προς π</w:t>
      </w:r>
      <w:r>
        <w:rPr>
          <w:rFonts w:cstheme="minorHAnsi"/>
          <w:sz w:val="24"/>
          <w:szCs w:val="24"/>
        </w:rPr>
        <w:t>ώληση σπίτια εμβαδού 75-150 τ.μ. και αξίας έως 200.000 ευρώ αποτελούν το 60% του συνόλου στο κέντρο, 74% στα δυτικά προάστια, 59% στον Πειραιά, 19% στα νότια, 5% στα βόρεια και 38% στα ανατολικά προάστια,</w:t>
      </w:r>
    </w:p>
    <w:p w:rsidR="0098654B" w:rsidRDefault="009B011D">
      <w:pPr>
        <w:jc w:val="both"/>
        <w:rPr>
          <w:rFonts w:cstheme="minorHAnsi"/>
          <w:sz w:val="24"/>
          <w:szCs w:val="24"/>
        </w:rPr>
      </w:pPr>
      <w:r>
        <w:rPr>
          <w:rFonts w:cstheme="minorHAnsi"/>
          <w:sz w:val="24"/>
          <w:szCs w:val="24"/>
        </w:rPr>
        <w:t>Επιπλέον, οι αντικειμενικές αξίες (οι οποίες αφορού</w:t>
      </w:r>
      <w:r>
        <w:rPr>
          <w:rFonts w:cstheme="minorHAnsi"/>
          <w:sz w:val="24"/>
          <w:szCs w:val="24"/>
        </w:rPr>
        <w:t xml:space="preserve">ν νεόδμητα ακίνητα ενώ το πρόγραμμα των στεγαστικών δανείων αφορά ακίνητα 15ετίας, οι αξίες των οποίων είναι προφανώς χαμηλότερες σε σχέση με τα νεόδμητα) ενδεικτικά στην Αγία Παρασκευή κυμαίνονται από 1500-2050 ευρώ ανά τετραγωνικό, στο Μαρούσι 1500-2300 </w:t>
      </w:r>
      <w:r>
        <w:rPr>
          <w:rFonts w:cstheme="minorHAnsi"/>
          <w:sz w:val="24"/>
          <w:szCs w:val="24"/>
        </w:rPr>
        <w:t>ευρώ, στην Πεύκη 1300-2250 ευρώ, στο 4ο Δημοτικό Διαμέρισμα Θεσσαλονίκης (Τούμπα) 1250 – 1550 ευρώ. Έτσι, η αξία των 200.000 ευρώ αντιστοιχεί σε σπίτια εμβαδού 90-150 τ.μ. στις περιοχές αυτές.</w:t>
      </w:r>
    </w:p>
    <w:p w:rsidR="0098654B" w:rsidRDefault="009B011D">
      <w:pPr>
        <w:jc w:val="both"/>
        <w:rPr>
          <w:rFonts w:cstheme="minorHAnsi"/>
          <w:sz w:val="24"/>
          <w:szCs w:val="24"/>
        </w:rPr>
      </w:pPr>
      <w:r>
        <w:rPr>
          <w:rFonts w:cstheme="minorHAnsi"/>
          <w:sz w:val="24"/>
          <w:szCs w:val="24"/>
        </w:rPr>
        <w:lastRenderedPageBreak/>
        <w:t>Προφανώς οι αξίες ποικίλλουν ανά περιοχή, που σημαίνει ότι με τ</w:t>
      </w:r>
      <w:r>
        <w:rPr>
          <w:rFonts w:cstheme="minorHAnsi"/>
          <w:sz w:val="24"/>
          <w:szCs w:val="24"/>
        </w:rPr>
        <w:t xml:space="preserve">α ίδια χρήματα οι ενδιαφερόμενοι μπορούν να αγοράσουν μεγαλύτερο ή νεότερο σπίτι μετακινούμενοι σε διαφορετική περιοχή. Σε κάθε περίπτωση το πρόγραμμα των στεγαστικών δανείων καταρτίστηκε με κοινωνικά κριτήρια αλλά και λαμβάνοντας υπόψη την πραγματικότητα </w:t>
      </w:r>
      <w:r>
        <w:rPr>
          <w:rFonts w:cstheme="minorHAnsi"/>
          <w:sz w:val="24"/>
          <w:szCs w:val="24"/>
        </w:rPr>
        <w:t>που διαμορφώνεται στην αγορά.</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6. Ποιοι είναι οι Δικαιούχοι του Προγράμματος;</w:t>
      </w:r>
    </w:p>
    <w:p w:rsidR="0098654B" w:rsidRDefault="009B011D">
      <w:pPr>
        <w:jc w:val="both"/>
        <w:rPr>
          <w:rFonts w:cstheme="minorHAnsi"/>
          <w:sz w:val="24"/>
          <w:szCs w:val="24"/>
        </w:rPr>
      </w:pPr>
      <w:r>
        <w:rPr>
          <w:rFonts w:cstheme="minorHAnsi"/>
          <w:sz w:val="24"/>
          <w:szCs w:val="24"/>
        </w:rPr>
        <w:t>Δικαιούχοι του Προγράμματος είναι άτομα ηλικίας κατά την ημερομηνία υποβολής της αίτησης για τη χορήγηση δανείου, από 25 έως 39 ετών, ή σύζυγοι ή πρόσωπα που συνδέονται με σύμφων</w:t>
      </w:r>
      <w:r>
        <w:rPr>
          <w:rFonts w:cstheme="minorHAnsi"/>
          <w:sz w:val="24"/>
          <w:szCs w:val="24"/>
        </w:rPr>
        <w:t>ο συμβίωσης, εφόσον ο ένας εκ των δύο είναι ηλικίας, κατά την ημερομηνία υποβολής της αίτησης για τη χορήγηση δανείου, από 25-39 ετών, που δεν διαθέτουν άλλο ακίνητο κατάλληλο για κατοικία τους και, ικανοποιούν τα εισοδηματικά κριτήρια.</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 xml:space="preserve">7. Ποια είναι τα εισοδηματικά κριτήρια; </w:t>
      </w:r>
    </w:p>
    <w:p w:rsidR="0098654B" w:rsidRDefault="009B011D">
      <w:pPr>
        <w:jc w:val="both"/>
        <w:rPr>
          <w:rFonts w:cstheme="minorHAnsi"/>
          <w:sz w:val="24"/>
          <w:szCs w:val="24"/>
        </w:rPr>
      </w:pPr>
      <w:r>
        <w:rPr>
          <w:rFonts w:cstheme="minorHAnsi"/>
          <w:sz w:val="24"/>
          <w:szCs w:val="24"/>
        </w:rPr>
        <w:t>Το ετήσιο εισόδημα πρέπει να είναι τουλάχιστον 10.000 ευρώ ενώ το μέγιστο, εκείνο που ισχύει για την καταβολή του επιδόματος θέρμανσης. Για το 2023 τα όρια έχουν ως εξής:</w:t>
      </w:r>
    </w:p>
    <w:p w:rsidR="0098654B" w:rsidRDefault="009B011D">
      <w:pPr>
        <w:jc w:val="both"/>
        <w:rPr>
          <w:rFonts w:cstheme="minorHAnsi"/>
          <w:sz w:val="24"/>
          <w:szCs w:val="24"/>
        </w:rPr>
      </w:pPr>
      <w:r>
        <w:rPr>
          <w:rFonts w:cstheme="minorHAnsi"/>
          <w:sz w:val="24"/>
          <w:szCs w:val="24"/>
        </w:rPr>
        <w:br/>
      </w:r>
      <w:r>
        <w:rPr>
          <w:noProof/>
          <w:lang w:val="en-GB" w:eastAsia="en-GB"/>
        </w:rPr>
        <w:drawing>
          <wp:inline distT="0" distB="0" distL="0" distR="0">
            <wp:extent cx="5274310" cy="35337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5274310" cy="3533775"/>
                    </a:xfrm>
                    <a:prstGeom prst="rect">
                      <a:avLst/>
                    </a:prstGeom>
                  </pic:spPr>
                </pic:pic>
              </a:graphicData>
            </a:graphic>
          </wp:inline>
        </w:drawing>
      </w:r>
    </w:p>
    <w:p w:rsidR="0098654B" w:rsidRDefault="009B011D">
      <w:pPr>
        <w:jc w:val="both"/>
        <w:rPr>
          <w:rFonts w:cstheme="minorHAnsi"/>
          <w:b/>
          <w:sz w:val="24"/>
          <w:szCs w:val="24"/>
        </w:rPr>
      </w:pPr>
      <w:r>
        <w:rPr>
          <w:rFonts w:cstheme="minorHAnsi"/>
          <w:b/>
          <w:sz w:val="24"/>
          <w:szCs w:val="24"/>
        </w:rPr>
        <w:t>8. Τι σημαίνει ότι οι δικαιούχοι δεν πρέπ</w:t>
      </w:r>
      <w:r>
        <w:rPr>
          <w:rFonts w:cstheme="minorHAnsi"/>
          <w:b/>
          <w:sz w:val="24"/>
          <w:szCs w:val="24"/>
        </w:rPr>
        <w:t>ει να διαθέτουν «ακίνητο κατάλληλο για κατοικία»;</w:t>
      </w:r>
    </w:p>
    <w:p w:rsidR="0098654B" w:rsidRDefault="009B011D">
      <w:pPr>
        <w:jc w:val="both"/>
        <w:rPr>
          <w:rFonts w:cstheme="minorHAnsi"/>
          <w:sz w:val="24"/>
          <w:szCs w:val="24"/>
        </w:rPr>
      </w:pPr>
      <w:r>
        <w:rPr>
          <w:rFonts w:cstheme="minorHAnsi"/>
          <w:sz w:val="24"/>
          <w:szCs w:val="24"/>
        </w:rPr>
        <w:lastRenderedPageBreak/>
        <w:t>Ο δικαιούχος ή σύζυγοι ή πρόσωπα που συνδέονται με σύμφωνο συμβίωσης είναι επιλέξιμοι μόνο στην περίπτωση που στα περιουσιακά στοιχεία τους δεν υπάρχει ακίνητο κατάλληλο για χρήση κατοικίας.</w:t>
      </w:r>
    </w:p>
    <w:p w:rsidR="0098654B" w:rsidRDefault="009B011D">
      <w:pPr>
        <w:jc w:val="both"/>
        <w:rPr>
          <w:rFonts w:cstheme="minorHAnsi"/>
          <w:sz w:val="24"/>
          <w:szCs w:val="24"/>
        </w:rPr>
      </w:pPr>
      <w:r>
        <w:rPr>
          <w:rFonts w:cstheme="minorHAnsi"/>
          <w:sz w:val="24"/>
          <w:szCs w:val="24"/>
        </w:rPr>
        <w:t>Τα κατάλληλα γι</w:t>
      </w:r>
      <w:r>
        <w:rPr>
          <w:rFonts w:cstheme="minorHAnsi"/>
          <w:sz w:val="24"/>
          <w:szCs w:val="24"/>
        </w:rPr>
        <w:t>α κατοικία ακίνητα περιλαμβάνουν όσα, στην περίπτωση άγαμου και άτεκνου δικαιούχου, έχουν μέγεθος άνω των 50 τ.μ., ενώ για τους υπόλοιπους το μέγεθος αυξάνεται κατά 10 τ.μ. ανά μέλος της οικογένειας (συμπεριλαμβανομένων και κυοφορούμενων τέκνων κατά το χρό</w:t>
      </w:r>
      <w:r>
        <w:rPr>
          <w:rFonts w:cstheme="minorHAnsi"/>
          <w:sz w:val="24"/>
          <w:szCs w:val="24"/>
        </w:rPr>
        <w:t>νο υποβολής της αίτησης). Επιπλέον, κατάλληλο θεωρείται ένα ακίνητο επί του οποίου ο ενδιαφερόμενος διαθέτει ποσοστό συνιδιοκτησίας ανώτερο του 50% και διαθέτει, είτε πλήρη κυριότητα, είτε επικαρπία. Περαιτέρω, το ακίνητο πρέπει να βρίσκεται στην ίδια Περι</w:t>
      </w:r>
      <w:r>
        <w:rPr>
          <w:rFonts w:cstheme="minorHAnsi"/>
          <w:sz w:val="24"/>
          <w:szCs w:val="24"/>
        </w:rPr>
        <w:t>φερειακή Ενότητα με τον τόπο εργασίας ή άσκησης επαγγέλματος του αιτούντος. Στην περίπτωση που ο τόπος εργασίας ή άσκησης επαγγέλματος του αιτούντος βρίσκεται εντός της Περιφέρειας Αττικής, το ακίνητο θεωρείται κατάλληλο εάν βρίσκεται εντός της Περιφέρειας</w:t>
      </w:r>
      <w:r>
        <w:rPr>
          <w:rFonts w:cstheme="minorHAnsi"/>
          <w:sz w:val="24"/>
          <w:szCs w:val="24"/>
        </w:rPr>
        <w:t xml:space="preserve"> Αττικής. Εάν το ακίνητο βρίσκεται σε νησί, πλην της Κρήτης, τότε κρίνεται κατάλληλο εάν συμφωνεί και με τον τόπο εργασίας στο ίδιο νησί.</w:t>
      </w:r>
    </w:p>
    <w:p w:rsidR="0098654B" w:rsidRDefault="009B011D">
      <w:pPr>
        <w:jc w:val="both"/>
        <w:rPr>
          <w:rFonts w:cstheme="minorHAnsi"/>
          <w:sz w:val="24"/>
          <w:szCs w:val="24"/>
        </w:rPr>
      </w:pPr>
      <w:r>
        <w:rPr>
          <w:rFonts w:cstheme="minorHAnsi"/>
          <w:sz w:val="24"/>
          <w:szCs w:val="24"/>
        </w:rPr>
        <w:t xml:space="preserve">Σημειώνεται ότι αν οι αιτούντες, είτε μεμονωμένα οι σύζυγοι ή τα μέρη συμφώνου συμβίωσης, ανεξάρτητα εάν η αίτηση για </w:t>
      </w:r>
      <w:r>
        <w:rPr>
          <w:rFonts w:cstheme="minorHAnsi"/>
          <w:sz w:val="24"/>
          <w:szCs w:val="24"/>
        </w:rPr>
        <w:t>τη χορήγηση του δανείου υποβάλλεται από κοινού ή από τον έναν εκ των δυο, είτε συνδυαστικά οι αιτούντες και οι σύζυγοι ή τα μέρη συμφώνου συμβίωσης, διαθέτουν περισσότερα τους ενός ακίνητα με χρήση κατοικίας, τεκμαίρεται ότι υπάρχει ακίνητο κατάλληλο για τ</w:t>
      </w:r>
      <w:r>
        <w:rPr>
          <w:rFonts w:cstheme="minorHAnsi"/>
          <w:sz w:val="24"/>
          <w:szCs w:val="24"/>
        </w:rPr>
        <w:t>ην κατοικία τους ανεξαρτήτως εάν πληρούνται ή όχι τα παραπάνω κριτήρια (εμβαδόν 50 τ.μ. κλπ.).</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9. Ποιος είναι ο προϋπολογισμός του προγράμματος και πόσοι μπορούν να ενταχθούν σε αυτό;</w:t>
      </w:r>
    </w:p>
    <w:p w:rsidR="0098654B" w:rsidRDefault="009B011D">
      <w:pPr>
        <w:jc w:val="both"/>
        <w:rPr>
          <w:rFonts w:cstheme="minorHAnsi"/>
          <w:sz w:val="24"/>
          <w:szCs w:val="24"/>
        </w:rPr>
      </w:pPr>
      <w:r>
        <w:rPr>
          <w:rFonts w:cstheme="minorHAnsi"/>
          <w:sz w:val="24"/>
          <w:szCs w:val="24"/>
        </w:rPr>
        <w:t xml:space="preserve">Ο συνολικός προϋπολογισμός 500 εκατ. ευρώ (με πρόβλεψη για διπλασιασμό </w:t>
      </w:r>
      <w:r>
        <w:rPr>
          <w:rFonts w:cstheme="minorHAnsi"/>
          <w:sz w:val="24"/>
          <w:szCs w:val="24"/>
        </w:rPr>
        <w:t>σε περίπτωση εξάντλησης των πόρων) και προέρχονται από την Δημόσια Υπηρεσία Απασχόλησης (Δ.ΥΠ.Α.) που καταβάλλει 375 εκατ., για την χρηματοδότηση του 75% του κεφαλαίου των δανείων και τις εμπορικές τράπεζες που συνεισφέρουν 125εκ. ευρώ για τη χρηματοδότηση</w:t>
      </w:r>
      <w:r>
        <w:rPr>
          <w:rFonts w:cstheme="minorHAnsi"/>
          <w:sz w:val="24"/>
          <w:szCs w:val="24"/>
        </w:rPr>
        <w:t xml:space="preserve"> του υπόλοιπου 25%. Επιπρόσθετα, θα υπάρξει πρόσθετο ποσό από τη Δ.ΥΠ.Α. για την κάλυψη των επιδοτούμενων τόκων και διαχειριστικών αμοιβών. Με μέσο όρο δανείου ύψους 100.000 ευρώ, ο προϋπολογισμός καλύπτει 5.000 δάνεια που σημαίνει ότι οι ωφελούμενοι, με τ</w:t>
      </w:r>
      <w:r>
        <w:rPr>
          <w:rFonts w:cstheme="minorHAnsi"/>
          <w:sz w:val="24"/>
          <w:szCs w:val="24"/>
        </w:rPr>
        <w:t>ην εκτίμηση ότι σε κάθε σπίτι θα στεγαστούν κατά μέσο όρο 2 άτομα θα είναι 10.000.</w:t>
      </w:r>
    </w:p>
    <w:p w:rsidR="0098654B" w:rsidRDefault="0098654B">
      <w:pPr>
        <w:jc w:val="both"/>
        <w:rPr>
          <w:rFonts w:cstheme="minorHAnsi"/>
          <w:b/>
          <w:sz w:val="24"/>
          <w:szCs w:val="24"/>
        </w:rPr>
      </w:pPr>
    </w:p>
    <w:p w:rsidR="0098654B" w:rsidRDefault="0098654B">
      <w:pPr>
        <w:jc w:val="both"/>
        <w:rPr>
          <w:rFonts w:cstheme="minorHAnsi"/>
          <w:b/>
          <w:sz w:val="24"/>
          <w:szCs w:val="24"/>
        </w:rPr>
      </w:pPr>
    </w:p>
    <w:p w:rsidR="0098654B" w:rsidRDefault="0098654B">
      <w:pPr>
        <w:jc w:val="both"/>
        <w:rPr>
          <w:rFonts w:cstheme="minorHAnsi"/>
          <w:b/>
          <w:sz w:val="24"/>
          <w:szCs w:val="24"/>
        </w:rPr>
      </w:pPr>
    </w:p>
    <w:p w:rsidR="0098654B" w:rsidRDefault="009B011D">
      <w:pPr>
        <w:jc w:val="both"/>
        <w:rPr>
          <w:rFonts w:cstheme="minorHAnsi"/>
          <w:b/>
          <w:sz w:val="24"/>
          <w:szCs w:val="24"/>
        </w:rPr>
      </w:pPr>
      <w:r>
        <w:rPr>
          <w:rFonts w:cstheme="minorHAnsi"/>
          <w:b/>
          <w:sz w:val="24"/>
          <w:szCs w:val="24"/>
        </w:rPr>
        <w:lastRenderedPageBreak/>
        <w:t>10. Τι προβλέπεται ειδικότερα για τα επιτόκια και σε ποιες περιπτώσεις τα δάνεια θα είναι άτοκα;</w:t>
      </w:r>
    </w:p>
    <w:p w:rsidR="0098654B" w:rsidRDefault="009B011D">
      <w:pPr>
        <w:jc w:val="both"/>
        <w:rPr>
          <w:rFonts w:cstheme="minorHAnsi"/>
          <w:sz w:val="24"/>
          <w:szCs w:val="24"/>
        </w:rPr>
      </w:pPr>
      <w:r>
        <w:rPr>
          <w:rFonts w:cstheme="minorHAnsi"/>
          <w:sz w:val="24"/>
          <w:szCs w:val="24"/>
        </w:rPr>
        <w:t>Για το 75% του δανείου, το επιτόκιο θα είναι μηδενικό. Για το υπόλοιπο 25</w:t>
      </w:r>
      <w:r>
        <w:rPr>
          <w:rFonts w:cstheme="minorHAnsi"/>
          <w:sz w:val="24"/>
          <w:szCs w:val="24"/>
        </w:rPr>
        <w:t>% του κεφαλαίου, το μέρος δηλαδή που παρέχεται από την Τράπεζα, θα εφαρμόζεται το επιτόκιο που ανακοίνωσε κάθε πιστωτικό ίδρυμα. Η μονομερής αλλαγή της ανώτατης τιμής περιθωρίου επιτοκίου προς τα πάνω δεν είναι επιτρεπτή. Τα προσφερόμενα επιτόκια από τις σ</w:t>
      </w:r>
      <w:r>
        <w:rPr>
          <w:rFonts w:cstheme="minorHAnsi"/>
          <w:sz w:val="24"/>
          <w:szCs w:val="24"/>
        </w:rPr>
        <w:t xml:space="preserve">υμμετέχουσες Τράπεζας αποτυπώνονται στον Πίνακα: </w:t>
      </w:r>
    </w:p>
    <w:p w:rsidR="0098654B" w:rsidRDefault="0098654B">
      <w:pPr>
        <w:jc w:val="both"/>
        <w:rPr>
          <w:rFonts w:cstheme="minorHAnsi"/>
          <w:sz w:val="24"/>
          <w:szCs w:val="24"/>
        </w:rPr>
      </w:pPr>
    </w:p>
    <w:tbl>
      <w:tblPr>
        <w:tblW w:w="8161" w:type="dxa"/>
        <w:jc w:val="center"/>
        <w:tblLook w:val="04A0"/>
      </w:tblPr>
      <w:tblGrid>
        <w:gridCol w:w="615"/>
        <w:gridCol w:w="2409"/>
        <w:gridCol w:w="1006"/>
        <w:gridCol w:w="2481"/>
        <w:gridCol w:w="1650"/>
      </w:tblGrid>
      <w:tr w:rsidR="0098654B">
        <w:trPr>
          <w:trHeight w:val="600"/>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bottom"/>
          </w:tcPr>
          <w:p w:rsidR="0098654B" w:rsidRDefault="009B011D">
            <w:pPr>
              <w:spacing w:after="0" w:line="240" w:lineRule="auto"/>
              <w:jc w:val="center"/>
              <w:rPr>
                <w:rFonts w:ascii="Calibri" w:eastAsia="Times New Roman" w:hAnsi="Calibri" w:cs="Calibri"/>
                <w:b/>
                <w:color w:val="000000"/>
                <w:lang w:eastAsia="el-GR"/>
              </w:rPr>
            </w:pPr>
            <w:r>
              <w:rPr>
                <w:rFonts w:eastAsia="Times New Roman" w:cs="Calibri"/>
                <w:b/>
                <w:color w:val="000000"/>
                <w:lang w:eastAsia="el-GR"/>
              </w:rPr>
              <w:t>α/α</w:t>
            </w:r>
          </w:p>
        </w:tc>
        <w:tc>
          <w:tcPr>
            <w:tcW w:w="2409" w:type="dxa"/>
            <w:tcBorders>
              <w:top w:val="single" w:sz="4" w:space="0" w:color="000000"/>
              <w:bottom w:val="single" w:sz="4" w:space="0" w:color="000000"/>
              <w:right w:val="single" w:sz="4" w:space="0" w:color="000000"/>
            </w:tcBorders>
            <w:shd w:val="clear" w:color="auto" w:fill="DEEAF6" w:themeFill="accent5" w:themeFillTint="33"/>
            <w:vAlign w:val="bottom"/>
          </w:tcPr>
          <w:p w:rsidR="0098654B" w:rsidRDefault="009B011D">
            <w:pPr>
              <w:spacing w:after="0" w:line="240" w:lineRule="auto"/>
              <w:jc w:val="center"/>
              <w:rPr>
                <w:rFonts w:ascii="Calibri" w:eastAsia="Times New Roman" w:hAnsi="Calibri" w:cs="Calibri"/>
                <w:b/>
                <w:color w:val="000000"/>
                <w:lang w:eastAsia="el-GR"/>
              </w:rPr>
            </w:pPr>
            <w:r>
              <w:rPr>
                <w:rFonts w:eastAsia="Times New Roman" w:cs="Calibri"/>
                <w:b/>
                <w:color w:val="000000"/>
                <w:lang w:eastAsia="el-GR"/>
              </w:rPr>
              <w:t>Πιστωτικό Ίδρυμα</w:t>
            </w:r>
          </w:p>
        </w:tc>
        <w:tc>
          <w:tcPr>
            <w:tcW w:w="1005" w:type="dxa"/>
            <w:tcBorders>
              <w:top w:val="single" w:sz="4" w:space="0" w:color="000000"/>
              <w:bottom w:val="single" w:sz="4" w:space="0" w:color="000000"/>
              <w:right w:val="single" w:sz="4" w:space="0" w:color="000000"/>
            </w:tcBorders>
            <w:shd w:val="clear" w:color="auto" w:fill="DEEAF6" w:themeFill="accent5" w:themeFillTint="33"/>
            <w:vAlign w:val="bottom"/>
          </w:tcPr>
          <w:p w:rsidR="0098654B" w:rsidRDefault="009B011D">
            <w:pPr>
              <w:spacing w:after="0" w:line="240" w:lineRule="auto"/>
              <w:jc w:val="center"/>
              <w:rPr>
                <w:rFonts w:ascii="Calibri" w:eastAsia="Times New Roman" w:hAnsi="Calibri" w:cs="Calibri"/>
                <w:b/>
                <w:color w:val="000000"/>
                <w:lang w:eastAsia="el-GR"/>
              </w:rPr>
            </w:pPr>
            <w:r>
              <w:rPr>
                <w:rFonts w:eastAsia="Times New Roman" w:cs="Calibri"/>
                <w:b/>
                <w:color w:val="000000"/>
                <w:lang w:eastAsia="el-GR"/>
              </w:rPr>
              <w:t>Σταθερό Επιτόκιο</w:t>
            </w:r>
          </w:p>
        </w:tc>
        <w:tc>
          <w:tcPr>
            <w:tcW w:w="4131" w:type="dxa"/>
            <w:gridSpan w:val="2"/>
            <w:tcBorders>
              <w:top w:val="single" w:sz="4" w:space="0" w:color="000000"/>
              <w:bottom w:val="single" w:sz="4" w:space="0" w:color="000000"/>
              <w:right w:val="single" w:sz="4" w:space="0" w:color="000000"/>
            </w:tcBorders>
            <w:shd w:val="clear" w:color="auto" w:fill="DEEAF6" w:themeFill="accent5" w:themeFillTint="33"/>
            <w:vAlign w:val="bottom"/>
          </w:tcPr>
          <w:p w:rsidR="0098654B" w:rsidRDefault="009B011D">
            <w:pPr>
              <w:spacing w:after="0" w:line="240" w:lineRule="auto"/>
              <w:jc w:val="center"/>
              <w:rPr>
                <w:rFonts w:ascii="Calibri" w:eastAsia="Times New Roman" w:hAnsi="Calibri" w:cs="Calibri"/>
                <w:b/>
                <w:color w:val="000000"/>
                <w:lang w:eastAsia="el-GR"/>
              </w:rPr>
            </w:pPr>
            <w:r>
              <w:rPr>
                <w:rFonts w:eastAsia="Times New Roman" w:cs="Calibri"/>
                <w:b/>
                <w:color w:val="000000"/>
                <w:lang w:eastAsia="el-GR"/>
              </w:rPr>
              <w:t>Κυμαινόμενο Επιτόκιο</w:t>
            </w:r>
          </w:p>
        </w:tc>
      </w:tr>
      <w:tr w:rsidR="0098654B">
        <w:trPr>
          <w:trHeight w:val="300"/>
          <w:jc w:val="center"/>
        </w:trPr>
        <w:tc>
          <w:tcPr>
            <w:tcW w:w="616" w:type="dxa"/>
            <w:tcBorders>
              <w:left w:val="single" w:sz="4" w:space="0" w:color="000000"/>
              <w:bottom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09" w:type="dxa"/>
            <w:tcBorders>
              <w:bottom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Επιτόκιο βάσης</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Εύρος (%)</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1</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Alpha Bank</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2,20%</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2</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Attica Bank</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2,9%-4%</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3</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Eurobank</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1%-4%</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4</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Εθνική</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2%-2,5%</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5</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Παγκρήτια</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1,5%-2%</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6</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Συνεταιριστική Τράπεζα Ηπείρου</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2%-3,5%</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7</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Συνεταιριστική Τράπεζα Θεσσαλίας</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μηνός</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2%-4%</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8</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Συνεταιριστική Τράπεζα Καρδίτσας</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5,00%</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9</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xml:space="preserve">Συνεταιριστική </w:t>
            </w:r>
            <w:r>
              <w:rPr>
                <w:rFonts w:eastAsia="Times New Roman" w:cs="Calibri"/>
                <w:color w:val="000000"/>
                <w:lang w:eastAsia="el-GR"/>
              </w:rPr>
              <w:t>Τράπεζα Χανίων</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3μήνου</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1,5%-4,9%</w:t>
            </w:r>
          </w:p>
        </w:tc>
      </w:tr>
      <w:tr w:rsidR="0098654B">
        <w:trPr>
          <w:trHeight w:val="600"/>
          <w:jc w:val="center"/>
        </w:trPr>
        <w:tc>
          <w:tcPr>
            <w:tcW w:w="616" w:type="dxa"/>
            <w:tcBorders>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jc w:val="right"/>
              <w:rPr>
                <w:rFonts w:ascii="Calibri" w:eastAsia="Times New Roman" w:hAnsi="Calibri" w:cs="Calibri"/>
                <w:color w:val="000000"/>
                <w:lang w:eastAsia="el-GR"/>
              </w:rPr>
            </w:pPr>
            <w:r>
              <w:rPr>
                <w:rFonts w:eastAsia="Times New Roman" w:cs="Calibri"/>
                <w:color w:val="000000"/>
                <w:lang w:eastAsia="el-GR"/>
              </w:rPr>
              <w:t>10</w:t>
            </w:r>
          </w:p>
        </w:tc>
        <w:tc>
          <w:tcPr>
            <w:tcW w:w="2409"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Τράπεζα Πειραιώς</w:t>
            </w:r>
          </w:p>
        </w:tc>
        <w:tc>
          <w:tcPr>
            <w:tcW w:w="1005"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 </w:t>
            </w:r>
          </w:p>
        </w:tc>
        <w:tc>
          <w:tcPr>
            <w:tcW w:w="2481" w:type="dxa"/>
            <w:tcBorders>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Euribor μηνός</w:t>
            </w:r>
          </w:p>
        </w:tc>
        <w:tc>
          <w:tcPr>
            <w:tcW w:w="1650" w:type="dxa"/>
            <w:tcBorders>
              <w:bottom w:val="single" w:sz="4" w:space="0" w:color="000000"/>
              <w:right w:val="single" w:sz="4" w:space="0" w:color="000000"/>
            </w:tcBorders>
            <w:shd w:val="clear" w:color="auto" w:fill="auto"/>
            <w:vAlign w:val="bottom"/>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2,50%</w:t>
            </w:r>
          </w:p>
        </w:tc>
      </w:tr>
    </w:tbl>
    <w:p w:rsidR="0098654B" w:rsidRDefault="0098654B">
      <w:pPr>
        <w:jc w:val="both"/>
        <w:rPr>
          <w:rFonts w:cstheme="minorHAnsi"/>
          <w:sz w:val="24"/>
          <w:szCs w:val="24"/>
        </w:rPr>
      </w:pPr>
    </w:p>
    <w:p w:rsidR="0098654B" w:rsidRDefault="009B011D">
      <w:pPr>
        <w:jc w:val="both"/>
        <w:rPr>
          <w:rFonts w:cstheme="minorHAnsi"/>
          <w:sz w:val="24"/>
          <w:szCs w:val="24"/>
        </w:rPr>
      </w:pPr>
      <w:r>
        <w:rPr>
          <w:rFonts w:cstheme="minorHAnsi"/>
          <w:sz w:val="24"/>
          <w:szCs w:val="24"/>
        </w:rPr>
        <w:t>Τα δάνεια θα παρέχονται χωρίς την εφαρμογή της εισφοράς του Ν. 128/75, που ανέρχεται σήμερα σε 0,12%.</w:t>
      </w:r>
    </w:p>
    <w:p w:rsidR="0098654B" w:rsidRDefault="009B011D">
      <w:pPr>
        <w:jc w:val="both"/>
        <w:rPr>
          <w:rFonts w:cstheme="minorHAnsi"/>
          <w:sz w:val="24"/>
          <w:szCs w:val="24"/>
        </w:rPr>
      </w:pPr>
      <w:r>
        <w:rPr>
          <w:rFonts w:cstheme="minorHAnsi"/>
          <w:sz w:val="24"/>
          <w:szCs w:val="24"/>
        </w:rPr>
        <w:t xml:space="preserve">Το Επιτόκιο του δανείου θα επιδοτείται κατά 100% για όλη τη διάρκεια του δανείου για: </w:t>
      </w:r>
    </w:p>
    <w:p w:rsidR="0098654B" w:rsidRDefault="009B011D">
      <w:pPr>
        <w:pStyle w:val="a3"/>
        <w:numPr>
          <w:ilvl w:val="0"/>
          <w:numId w:val="1"/>
        </w:numPr>
        <w:jc w:val="both"/>
        <w:rPr>
          <w:rFonts w:cstheme="minorHAnsi"/>
          <w:sz w:val="24"/>
          <w:szCs w:val="24"/>
        </w:rPr>
      </w:pPr>
      <w:r>
        <w:rPr>
          <w:rFonts w:cstheme="minorHAnsi"/>
          <w:sz w:val="24"/>
          <w:szCs w:val="24"/>
        </w:rPr>
        <w:t>Νέα ζευγάρια που έχουν τρία ή παραπάνω παιδιά κατά την ημερομηνία υποβολής αίτησης χρηματοδότησης,</w:t>
      </w:r>
    </w:p>
    <w:p w:rsidR="0098654B" w:rsidRDefault="009B011D">
      <w:pPr>
        <w:pStyle w:val="a3"/>
        <w:numPr>
          <w:ilvl w:val="0"/>
          <w:numId w:val="1"/>
        </w:numPr>
        <w:jc w:val="both"/>
        <w:rPr>
          <w:rFonts w:cstheme="minorHAnsi"/>
          <w:sz w:val="24"/>
          <w:szCs w:val="24"/>
        </w:rPr>
      </w:pPr>
      <w:r>
        <w:rPr>
          <w:rFonts w:cstheme="minorHAnsi"/>
          <w:sz w:val="24"/>
          <w:szCs w:val="24"/>
        </w:rPr>
        <w:t>Νέους ή νέα ζευγάρια που, κατά τη διάρκεια αποπληρωμής του δανείου (έω</w:t>
      </w:r>
      <w:r>
        <w:rPr>
          <w:rFonts w:cstheme="minorHAnsi"/>
          <w:sz w:val="24"/>
          <w:szCs w:val="24"/>
        </w:rPr>
        <w:t xml:space="preserve">ς 30 έτη), καταστούν τρίτεκνοι ή πολύτεκνοι. Η επιδότηση επιτοκίου θα </w:t>
      </w:r>
      <w:r>
        <w:rPr>
          <w:rFonts w:cstheme="minorHAnsi"/>
          <w:sz w:val="24"/>
          <w:szCs w:val="24"/>
        </w:rPr>
        <w:lastRenderedPageBreak/>
        <w:t xml:space="preserve">ξεκινά μετά την υποβολή στην Τράπεζα των απαιτούμενων δικαιολογητικών σχετικά με τη συμπλήρωση των προϋποθέσεων ένταξης στη κατηγορία των τρίτεκνων ή πολύτεκνων οικογενειών και θα αφορά </w:t>
      </w:r>
      <w:r>
        <w:rPr>
          <w:rFonts w:cstheme="minorHAnsi"/>
          <w:sz w:val="24"/>
          <w:szCs w:val="24"/>
        </w:rPr>
        <w:t>το υπόλοιπο διάστημα αποπληρωμής του δανείου.</w:t>
      </w:r>
    </w:p>
    <w:p w:rsidR="0098654B" w:rsidRDefault="009B011D">
      <w:pPr>
        <w:jc w:val="both"/>
        <w:rPr>
          <w:rFonts w:cstheme="minorHAnsi"/>
          <w:sz w:val="24"/>
          <w:szCs w:val="24"/>
        </w:rPr>
      </w:pPr>
      <w:r>
        <w:rPr>
          <w:rFonts w:cstheme="minorHAnsi"/>
          <w:sz w:val="24"/>
          <w:szCs w:val="24"/>
        </w:rPr>
        <w:t>Οι προϋποθέσεις για την επιδότηση επιτοκίου ελέγχονται βάση του αριθμού εξαρτωμένων τέκνων, όπως αυτά αποτυπώνονται στα συνυποβαλλόμενα δικαιολογητικά. Την στιγμή της αίτησης επιδότησης επιτοκίου (είτε είναι τα</w:t>
      </w:r>
      <w:r>
        <w:rPr>
          <w:rFonts w:cstheme="minorHAnsi"/>
          <w:sz w:val="24"/>
          <w:szCs w:val="24"/>
        </w:rPr>
        <w:t>υτόχρονα με την αίτηση δανείου είτε μεταγενέστερη) ζητείται πιστοποιητικό οικογενειακής κατάστασης. Αναφορικά με την ηλικία των τέκνων εφαρμόζονται τα προβλεπόμενα στην Δήλωση Φορολογίας Εισοδήματος Φυσικών Προσώπων.</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 xml:space="preserve">11. Ποια είναι τα διαχειριστικά κόστη </w:t>
      </w:r>
      <w:r>
        <w:rPr>
          <w:rFonts w:cstheme="minorHAnsi"/>
          <w:b/>
          <w:sz w:val="24"/>
          <w:szCs w:val="24"/>
        </w:rPr>
        <w:t>και ποιος τα καλύπτει;</w:t>
      </w:r>
    </w:p>
    <w:p w:rsidR="0098654B" w:rsidRDefault="009B011D">
      <w:pPr>
        <w:pStyle w:val="a3"/>
        <w:numPr>
          <w:ilvl w:val="0"/>
          <w:numId w:val="1"/>
        </w:numPr>
        <w:jc w:val="both"/>
        <w:rPr>
          <w:rFonts w:cstheme="minorHAnsi"/>
          <w:sz w:val="24"/>
          <w:szCs w:val="24"/>
        </w:rPr>
      </w:pPr>
      <w:r>
        <w:rPr>
          <w:rFonts w:cstheme="minorHAnsi"/>
          <w:sz w:val="24"/>
          <w:szCs w:val="24"/>
        </w:rPr>
        <w:t>Το κόστος διαχείρισης του δανειακού φακέλου, που περιλαμβάνει όλα τα πάγια και εφάπαξ έξοδα του δανειακού φακέλου των τραπεζών για τη διαχείριση και έλεγχο επιλεξιμότητας των ωφελούμενων,  καταβάλλεται από το Πρόγραμμα κατά τον χρόνο</w:t>
      </w:r>
      <w:r>
        <w:rPr>
          <w:rFonts w:cstheme="minorHAnsi"/>
          <w:sz w:val="24"/>
          <w:szCs w:val="24"/>
        </w:rPr>
        <w:t xml:space="preserve"> εκταμίευσης του δανείου. Ο Τελικός Αποδέκτης δεν επιβαρύνεται επιπλέον για τα έξοδα φακέλου.</w:t>
      </w:r>
    </w:p>
    <w:p w:rsidR="0098654B" w:rsidRDefault="009B011D">
      <w:pPr>
        <w:pStyle w:val="a3"/>
        <w:numPr>
          <w:ilvl w:val="0"/>
          <w:numId w:val="1"/>
        </w:numPr>
        <w:jc w:val="both"/>
        <w:rPr>
          <w:rFonts w:cstheme="minorHAnsi"/>
          <w:sz w:val="24"/>
          <w:szCs w:val="24"/>
        </w:rPr>
      </w:pPr>
      <w:r>
        <w:rPr>
          <w:rFonts w:cstheme="minorHAnsi"/>
          <w:sz w:val="24"/>
          <w:szCs w:val="24"/>
        </w:rPr>
        <w:t xml:space="preserve">Τα έξοδα νομικού και τεχνικού ελέγχου για την αγορά του βαρύνουν τον δανειολήπτη και αποτυπώνονται στον πίνακα που ακολουθεί: </w:t>
      </w:r>
    </w:p>
    <w:tbl>
      <w:tblPr>
        <w:tblW w:w="5000" w:type="pct"/>
        <w:tblLook w:val="04A0"/>
      </w:tblPr>
      <w:tblGrid>
        <w:gridCol w:w="3741"/>
        <w:gridCol w:w="4781"/>
      </w:tblGrid>
      <w:tr w:rsidR="0098654B">
        <w:trPr>
          <w:trHeight w:val="300"/>
        </w:trPr>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 xml:space="preserve">ΠΙΣΤΩΤΙΚΟ ΙΔΡΥΜΑ </w:t>
            </w:r>
          </w:p>
        </w:tc>
        <w:tc>
          <w:tcPr>
            <w:tcW w:w="4659" w:type="dxa"/>
            <w:tcBorders>
              <w:top w:val="single" w:sz="4" w:space="0" w:color="000000"/>
              <w:bottom w:val="single" w:sz="4" w:space="0" w:color="000000"/>
              <w:right w:val="single" w:sz="4" w:space="0" w:color="000000"/>
            </w:tcBorders>
            <w:shd w:val="clear" w:color="000000" w:fill="B4C6E7"/>
            <w:vAlign w:val="center"/>
          </w:tcPr>
          <w:p w:rsidR="0098654B" w:rsidRDefault="009B011D">
            <w:pPr>
              <w:spacing w:after="0" w:line="240" w:lineRule="auto"/>
              <w:jc w:val="center"/>
              <w:rPr>
                <w:rFonts w:ascii="Calibri" w:eastAsia="Times New Roman" w:hAnsi="Calibri" w:cs="Calibri"/>
                <w:b/>
                <w:bCs/>
                <w:color w:val="000000"/>
                <w:lang w:eastAsia="el-GR"/>
              </w:rPr>
            </w:pPr>
            <w:r>
              <w:rPr>
                <w:rFonts w:eastAsia="Times New Roman" w:cs="Calibri"/>
                <w:b/>
                <w:bCs/>
                <w:color w:val="000000"/>
                <w:lang w:eastAsia="el-GR"/>
              </w:rPr>
              <w:t>Κόστος Νομικού κα</w:t>
            </w:r>
            <w:r>
              <w:rPr>
                <w:rFonts w:eastAsia="Times New Roman" w:cs="Calibri"/>
                <w:b/>
                <w:bCs/>
                <w:color w:val="000000"/>
                <w:lang w:eastAsia="el-GR"/>
              </w:rPr>
              <w:t>ι Τεχνικού Ελέγχου (ευρώ)</w:t>
            </w: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Alpha Bank</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420,00 €</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Eurobank</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Από 500€ Κόστος Τεχνικού &amp; Νομικού Ελέγχου, το οποίο μεταβάλλεται υπό προϋποθέσεις (π.χ. προσαυξήσεις για περιοχές εκτός έδρας μηχανικού, νησιά, κλπ.).</w:t>
            </w:r>
            <w:r>
              <w:rPr>
                <w:rFonts w:eastAsia="Times New Roman" w:cs="Calibri"/>
                <w:color w:val="000000"/>
                <w:lang w:eastAsia="el-GR"/>
              </w:rPr>
              <w:br/>
              <w:t xml:space="preserve">• Έως 650€ σε περίπτωση </w:t>
            </w:r>
            <w:r>
              <w:rPr>
                <w:rFonts w:eastAsia="Times New Roman" w:cs="Calibri"/>
                <w:color w:val="000000"/>
                <w:lang w:eastAsia="el-GR"/>
              </w:rPr>
              <w:t>διενέργειας ελέγχου σε παραπάνω από 1 ακίνητα. Για κάθε επιπλέον ακίνητο, για το οποίο θα πραγματοποιηθεί Τεχνικός-Νομικός έλεγχος το κόστος ανέρχεται σε 350€ ανά ακίνητο. Στο πλαίσιο του Προγράμματος η συνολική χρέωση, δε θα υπερβαίνει τα 650€.</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ΕΘΝΙΚΗ</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xml:space="preserve">Κόστος Νομικού και Τεχνικού Ελέγχου Κατ’ ελάχιστον €246. Σε ειδικές περιπτώσεις όπου πραγματοποιηθεί αλλαγή ακινήτου και χρειαστεί να πραγματοποιηθούν νέοι έλεγχοι ακινήτου, θα υπάρξει επιπλέον επιβάρυνση για την </w:t>
            </w:r>
            <w:r>
              <w:rPr>
                <w:rFonts w:eastAsia="Times New Roman" w:cs="Calibri"/>
                <w:color w:val="000000"/>
                <w:lang w:eastAsia="el-GR"/>
              </w:rPr>
              <w:lastRenderedPageBreak/>
              <w:t>ολοκλήρωση του Νομικού και του Τε</w:t>
            </w:r>
            <w:r>
              <w:rPr>
                <w:rFonts w:eastAsia="Times New Roman" w:cs="Calibri"/>
                <w:color w:val="000000"/>
                <w:lang w:eastAsia="el-GR"/>
              </w:rPr>
              <w:t>χνικού Ελέγχου.</w:t>
            </w:r>
            <w:r>
              <w:rPr>
                <w:rFonts w:eastAsia="Times New Roman" w:cs="Calibri"/>
                <w:color w:val="000000"/>
                <w:lang w:eastAsia="el-GR"/>
              </w:rPr>
              <w:br/>
              <w:t>Σημειώνουμε ότι στα ως άνω έξοδα δεν περιλαμβάνονται λοιπά έξοδα που σχετίζονται με την εγγραφή του βάρους επί του ακινήτου όπως, δαπάνη για την έκδοση της δικαστικής απόφασης εγγραφής προσημείωσης υποθήκης επί ακινήτου, τέλος για την εγγρα</w:t>
            </w:r>
            <w:r>
              <w:rPr>
                <w:rFonts w:eastAsia="Times New Roman" w:cs="Calibri"/>
                <w:color w:val="000000"/>
                <w:lang w:eastAsia="el-GR"/>
              </w:rPr>
              <w:t>φή της προσημείωσης υποθήκης, έξοδα για την υποβολή αίτησης έκδοσης πιστοποιητικών, την περίληψη της δικαστικής απόφασης και την έκδοση των πιστοποιητικών, έξοδα για τη δήλωση των δικαιωμάτων προσημείωσης, εφόσον λειτουργεί Κτηματολογικό Γραφείο, έξοδα άρσ</w:t>
            </w:r>
            <w:r>
              <w:rPr>
                <w:rFonts w:eastAsia="Times New Roman" w:cs="Calibri"/>
                <w:color w:val="000000"/>
                <w:lang w:eastAsia="el-GR"/>
              </w:rPr>
              <w:t>ης προσημείωσης. Αυτά θα καταβάλλονται από τον πιστούχο.</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240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ΠΑΓΚΡΗΤΙΑ</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xml:space="preserve">Κόστος Νομικού και Τεχνικού Ελέγχου (ευρώ) </w:t>
            </w:r>
            <w:r>
              <w:rPr>
                <w:rFonts w:eastAsia="Times New Roman" w:cs="Calibri"/>
                <w:color w:val="000000"/>
                <w:lang w:eastAsia="el-GR"/>
              </w:rPr>
              <w:br/>
            </w:r>
            <w:r>
              <w:rPr>
                <w:rFonts w:eastAsia="Times New Roman" w:cs="Calibri"/>
                <w:b/>
                <w:bCs/>
                <w:color w:val="000000"/>
                <w:lang w:eastAsia="el-GR"/>
              </w:rPr>
              <w:t>1. Κόστος Νομικού Ελέγχου: € 86,80*</w:t>
            </w:r>
            <w:r>
              <w:rPr>
                <w:rFonts w:eastAsia="Times New Roman" w:cs="Calibri"/>
                <w:color w:val="000000"/>
                <w:lang w:eastAsia="el-GR"/>
              </w:rPr>
              <w:br/>
            </w:r>
            <w:r>
              <w:rPr>
                <w:rFonts w:eastAsia="Times New Roman" w:cs="Calibri"/>
                <w:color w:val="000000"/>
                <w:lang w:eastAsia="el-GR"/>
              </w:rPr>
              <w:t xml:space="preserve"> * - Αφορά σε έξοδα ελέγχου τίτλων ακινήτου προκειμένου να χορηγηθεί η έγκριση του δανείου και δεν περιλαμβάνει έξοδα εγγραφής προσημείωσης και τυχόν άλλα έξοδα που αφορούν στην εμπράγματη εξασφάλιση τα οποία βαρύνουν εξολοκλήρου τον δανειολήπτη.</w:t>
            </w:r>
            <w:r>
              <w:rPr>
                <w:rFonts w:eastAsia="Times New Roman" w:cs="Calibri"/>
                <w:color w:val="000000"/>
                <w:lang w:eastAsia="el-GR"/>
              </w:rPr>
              <w:br/>
              <w:t xml:space="preserve"> - Συμπερ</w:t>
            </w:r>
            <w:r>
              <w:rPr>
                <w:rFonts w:eastAsia="Times New Roman" w:cs="Calibri"/>
                <w:color w:val="000000"/>
                <w:lang w:eastAsia="el-GR"/>
              </w:rPr>
              <w:t>ιλαμβάνεται ΦΠΑ, σήμερα 24%.</w:t>
            </w:r>
            <w:r>
              <w:rPr>
                <w:rFonts w:eastAsia="Times New Roman" w:cs="Calibri"/>
                <w:color w:val="000000"/>
                <w:lang w:eastAsia="el-GR"/>
              </w:rPr>
              <w:br/>
              <w:t>- Σε περίπτωση μετάβασης δικηγόρου σε υποθηκοφυλακείο εκτός της έδρας του ο δανειολήπτης επιβαρύνεται με τα έξοδα μετακίνησης (€ 0,25/χλμ) καθώς και με τυχόν άλλα πραγματικά έξοδα μετάβασης και διαμονής.</w:t>
            </w:r>
            <w:r>
              <w:rPr>
                <w:rFonts w:eastAsia="Times New Roman" w:cs="Calibri"/>
                <w:color w:val="000000"/>
                <w:lang w:eastAsia="el-GR"/>
              </w:rPr>
              <w:br/>
              <w:t>- Τα εν λόγω έξοδα αφορ</w:t>
            </w:r>
            <w:r>
              <w:rPr>
                <w:rFonts w:eastAsia="Times New Roman" w:cs="Calibri"/>
                <w:color w:val="000000"/>
                <w:lang w:eastAsia="el-GR"/>
              </w:rPr>
              <w:t xml:space="preserve">ούν ανά ελεγχόμενο ακίνητο, εισπράττονται πριν από τη διενέργεια των αντίστοιχων ελέγχων και δεν επιστρέφονται εφόσον οι έλεγχοι πραγματοποιηθούν. </w:t>
            </w:r>
            <w:r>
              <w:rPr>
                <w:rFonts w:eastAsia="Times New Roman" w:cs="Calibri"/>
                <w:b/>
                <w:bCs/>
                <w:color w:val="000000"/>
                <w:lang w:eastAsia="el-GR"/>
              </w:rPr>
              <w:br/>
              <w:t>2. Κόστος Τεχνικού Ελέγχου: € 148,80**</w:t>
            </w:r>
            <w:r>
              <w:rPr>
                <w:rFonts w:eastAsia="Times New Roman" w:cs="Calibri"/>
                <w:color w:val="000000"/>
                <w:lang w:eastAsia="el-GR"/>
              </w:rPr>
              <w:t xml:space="preserve"> </w:t>
            </w:r>
            <w:r>
              <w:rPr>
                <w:rFonts w:eastAsia="Times New Roman" w:cs="Calibri"/>
                <w:color w:val="000000"/>
                <w:lang w:eastAsia="el-GR"/>
              </w:rPr>
              <w:br/>
              <w:t>** - Αφορά σε έξοδα εκτίμησης ακινήτου προκειμένου να χορηγηθεί η έγ</w:t>
            </w:r>
            <w:r>
              <w:rPr>
                <w:rFonts w:eastAsia="Times New Roman" w:cs="Calibri"/>
                <w:color w:val="000000"/>
                <w:lang w:eastAsia="el-GR"/>
              </w:rPr>
              <w:t>κριση του δανείου.</w:t>
            </w:r>
            <w:r>
              <w:rPr>
                <w:rFonts w:eastAsia="Times New Roman" w:cs="Calibri"/>
                <w:color w:val="000000"/>
                <w:lang w:eastAsia="el-GR"/>
              </w:rPr>
              <w:br/>
              <w:t xml:space="preserve"> - Συμπεριλαμβάνεται ΦΠΑ, σήμερα 24%.</w:t>
            </w:r>
            <w:r>
              <w:rPr>
                <w:rFonts w:eastAsia="Times New Roman" w:cs="Calibri"/>
                <w:color w:val="000000"/>
                <w:lang w:eastAsia="el-GR"/>
              </w:rPr>
              <w:br/>
              <w:t xml:space="preserve"> - Σε περίπτωση μετάβασης του εκτιμητή σε απόσταση πέραν των 30χλμ από την έδρα του ο δανειολήπτης επιβαρύνεται με τα έξοδα μετακίνησης (€ 0,25/χλμ) καθώς και με τυχόν άλλα πραγματικά έξοδα μετάβασης</w:t>
            </w:r>
            <w:r>
              <w:rPr>
                <w:rFonts w:eastAsia="Times New Roman" w:cs="Calibri"/>
                <w:color w:val="000000"/>
                <w:lang w:eastAsia="el-GR"/>
              </w:rPr>
              <w:t xml:space="preserve"> και διαμονής. </w:t>
            </w:r>
            <w:r>
              <w:rPr>
                <w:rFonts w:eastAsia="Times New Roman" w:cs="Calibri"/>
                <w:color w:val="000000"/>
                <w:lang w:eastAsia="el-GR"/>
              </w:rPr>
              <w:br/>
              <w:t>- Τα εν λόγω έξοδα αφορούν ανά ελεγχόμενο ακίνητο, εισπράττονται πριν από τη διενέργεια των αντίστοιχων ελέγχων και δεν επιστρέφονται εφόσον οι έλεγχοι πραγματοποιηθούν.</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38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ΣΥΝΕΤΑΙΡΙΣΤΙΚΗ ΤΡΑΠΕΖΑ ΗΠΕΙΡΟΥ</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400,00 €</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 xml:space="preserve">ΣΥΝΕΤΑΙΡΙΣΤΙΚΗ ΤΡΑΠΕΖΑ ΘΕΣΣΑΛΙΑΣ </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350,00 €</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 xml:space="preserve">ΣΥΝΕΤΑΙΡΙΣΤΙΚΗ ΤΡΑΠΕΖΑ ΚΑΡΔΙΤΣΑΣ </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300,00 €</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ΣΥΝΕΤΑΙΡΙΣΤΙΚΗ ΤΡΑΠΕΖΑ ΧΑΝΙΩΝ</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350€+ ΦΠΑ</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t xml:space="preserve">ATTICA BANK </w:t>
            </w:r>
          </w:p>
        </w:tc>
        <w:tc>
          <w:tcPr>
            <w:tcW w:w="4659" w:type="dxa"/>
            <w:vMerge w:val="restart"/>
            <w:tcBorders>
              <w:left w:val="single" w:sz="4" w:space="0" w:color="000000"/>
              <w:bottom w:val="single" w:sz="4" w:space="0" w:color="000000"/>
              <w:right w:val="single" w:sz="4" w:space="0" w:color="000000"/>
            </w:tcBorders>
            <w:shd w:val="clear" w:color="000000" w:fill="DEEAF6"/>
          </w:tcPr>
          <w:p w:rsidR="0098654B" w:rsidRDefault="009B011D">
            <w:pPr>
              <w:spacing w:after="0" w:line="240" w:lineRule="auto"/>
              <w:rPr>
                <w:rFonts w:ascii="Calibri" w:eastAsia="Times New Roman" w:hAnsi="Calibri" w:cs="Calibri"/>
                <w:color w:val="000000"/>
                <w:lang w:eastAsia="el-GR"/>
              </w:rPr>
            </w:pPr>
            <w:r>
              <w:rPr>
                <w:rFonts w:eastAsia="Times New Roman" w:cs="Calibri"/>
                <w:color w:val="000000"/>
                <w:lang w:eastAsia="el-GR"/>
              </w:rPr>
              <w:t>Κόστος Νομικού και Τεχνικού Ελέγχου (ευρώ)</w:t>
            </w:r>
            <w:r>
              <w:rPr>
                <w:rFonts w:eastAsia="Times New Roman" w:cs="Calibri"/>
                <w:color w:val="000000"/>
                <w:lang w:eastAsia="el-GR"/>
              </w:rPr>
              <w:br/>
              <w:t xml:space="preserve">•Δαπάνη εκτίμησης Γης - Οριζόντιας </w:t>
            </w:r>
            <w:r>
              <w:rPr>
                <w:rFonts w:eastAsia="Times New Roman" w:cs="Calibri"/>
                <w:color w:val="000000"/>
                <w:lang w:eastAsia="el-GR"/>
              </w:rPr>
              <w:t>ή Αυτοτελούς Κατοικίας : Πάγιο € 175</w:t>
            </w:r>
            <w:r>
              <w:rPr>
                <w:rFonts w:eastAsia="Times New Roman" w:cs="Calibri"/>
                <w:color w:val="000000"/>
                <w:lang w:eastAsia="el-GR"/>
              </w:rPr>
              <w:br/>
              <w:t>πλέον Φ.Π.Α.</w:t>
            </w:r>
            <w:r>
              <w:rPr>
                <w:rFonts w:eastAsia="Times New Roman" w:cs="Calibri"/>
                <w:color w:val="000000"/>
                <w:lang w:eastAsia="el-GR"/>
              </w:rPr>
              <w:br/>
              <w:t>Η δαπάνη εκτίμησης περιλαμβάνει έλεγχο πολεοδομικής νομιμότητας</w:t>
            </w:r>
            <w:r>
              <w:rPr>
                <w:rFonts w:eastAsia="Times New Roman" w:cs="Calibri"/>
                <w:color w:val="000000"/>
                <w:lang w:eastAsia="el-GR"/>
              </w:rPr>
              <w:br/>
            </w:r>
            <w:r>
              <w:rPr>
                <w:rFonts w:eastAsia="Times New Roman" w:cs="Calibri"/>
                <w:color w:val="000000"/>
                <w:lang w:eastAsia="el-GR"/>
              </w:rPr>
              <w:lastRenderedPageBreak/>
              <w:t>ακινήτων εκτιμηθείσας αξίας έως € 600.000.</w:t>
            </w:r>
            <w:r>
              <w:rPr>
                <w:rFonts w:eastAsia="Times New Roman" w:cs="Calibri"/>
                <w:color w:val="000000"/>
                <w:lang w:eastAsia="el-GR"/>
              </w:rPr>
              <w:br/>
              <w:t>Για εκτιμώμενα ακίνητα οδικής απόστασης &gt; 40χλμ από την έδρα του εντολέα</w:t>
            </w:r>
            <w:r>
              <w:rPr>
                <w:rFonts w:eastAsia="Times New Roman" w:cs="Calibri"/>
                <w:color w:val="000000"/>
                <w:lang w:eastAsia="el-GR"/>
              </w:rPr>
              <w:br/>
              <w:t>καταβάλλονται οδοιπορικά έ</w:t>
            </w:r>
            <w:r>
              <w:rPr>
                <w:rFonts w:eastAsia="Times New Roman" w:cs="Calibri"/>
                <w:color w:val="000000"/>
                <w:lang w:eastAsia="el-GR"/>
              </w:rPr>
              <w:t>ξοδα με χρέωση € 0,25/χλμ.</w:t>
            </w:r>
            <w:r>
              <w:rPr>
                <w:rFonts w:eastAsia="Times New Roman" w:cs="Calibri"/>
                <w:color w:val="000000"/>
                <w:lang w:eastAsia="el-GR"/>
              </w:rPr>
              <w:br/>
              <w:t>Επίσης καταβάλλονται έξοδα εισιτηρίων, πορθμείων, διοδίων σύμφωνα με τα</w:t>
            </w:r>
            <w:r>
              <w:rPr>
                <w:rFonts w:eastAsia="Times New Roman" w:cs="Calibri"/>
                <w:color w:val="000000"/>
                <w:lang w:eastAsia="el-GR"/>
              </w:rPr>
              <w:br/>
              <w:t>παραστατικά που θα προσκομίζονται από τον εκτιμητή με μέγιστη αμοιβή</w:t>
            </w:r>
            <w:r>
              <w:rPr>
                <w:rFonts w:eastAsia="Times New Roman" w:cs="Calibri"/>
                <w:color w:val="000000"/>
                <w:lang w:eastAsia="el-GR"/>
              </w:rPr>
              <w:br/>
              <w:t>το ποσό των 80 € πλέον ΦΠΑ.. Σε περιπτώσεις διανυκτέρευσης του εκτιμητή</w:t>
            </w:r>
            <w:r>
              <w:rPr>
                <w:rFonts w:eastAsia="Times New Roman" w:cs="Calibri"/>
                <w:color w:val="000000"/>
                <w:lang w:eastAsia="el-GR"/>
              </w:rPr>
              <w:br/>
              <w:t>θα εκδίδεται τιμ</w:t>
            </w:r>
            <w:r>
              <w:rPr>
                <w:rFonts w:eastAsia="Times New Roman" w:cs="Calibri"/>
                <w:color w:val="000000"/>
                <w:lang w:eastAsia="el-GR"/>
              </w:rPr>
              <w:t>ολόγιο και μέχρι του ποσού των € 70 (διανυκτέρευση και πρωϊνό)</w:t>
            </w:r>
            <w:r>
              <w:rPr>
                <w:rFonts w:eastAsia="Times New Roman" w:cs="Calibri"/>
                <w:color w:val="000000"/>
                <w:lang w:eastAsia="el-GR"/>
              </w:rPr>
              <w:br/>
              <w:t>με μέγιστη αμοιβή το ποσό των € 120 / ημέρα πλέον</w:t>
            </w:r>
            <w:r>
              <w:rPr>
                <w:rFonts w:eastAsia="Times New Roman" w:cs="Calibri"/>
                <w:color w:val="000000"/>
                <w:lang w:eastAsia="el-GR"/>
              </w:rPr>
              <w:br/>
              <w:t>ΦΠΑ και μία διανυκτέρευση.</w:t>
            </w:r>
            <w:r>
              <w:rPr>
                <w:rFonts w:eastAsia="Times New Roman" w:cs="Calibri"/>
                <w:color w:val="000000"/>
                <w:lang w:eastAsia="el-GR"/>
              </w:rPr>
              <w:br/>
              <w:t>•Δαπάνη Νομικού Ελέγχου :</w:t>
            </w:r>
            <w:r>
              <w:rPr>
                <w:rFonts w:eastAsia="Times New Roman" w:cs="Calibri"/>
                <w:color w:val="000000"/>
                <w:lang w:eastAsia="el-GR"/>
              </w:rPr>
              <w:br/>
              <w:t>80 συμπεριλαμβανομένου Φ.Π.Α.</w:t>
            </w:r>
            <w:r>
              <w:rPr>
                <w:rFonts w:eastAsia="Times New Roman" w:cs="Calibri"/>
                <w:color w:val="000000"/>
                <w:lang w:eastAsia="el-GR"/>
              </w:rPr>
              <w:br/>
              <w:t>Σε καμία περίπτωση το συνολικό ποσό των εξόδων νομικού και τ</w:t>
            </w:r>
            <w:r>
              <w:rPr>
                <w:rFonts w:eastAsia="Times New Roman" w:cs="Calibri"/>
                <w:color w:val="000000"/>
                <w:lang w:eastAsia="el-GR"/>
              </w:rPr>
              <w:t>εχνικού ελέγχου</w:t>
            </w:r>
            <w:r>
              <w:rPr>
                <w:rFonts w:eastAsia="Times New Roman" w:cs="Calibri"/>
                <w:color w:val="000000"/>
                <w:lang w:eastAsia="el-GR"/>
              </w:rPr>
              <w:br/>
              <w:t>ανά τελικό αποδέκτη δεν θα υπερβεί το ποσό των € 650.</w:t>
            </w:r>
            <w:r>
              <w:rPr>
                <w:rFonts w:eastAsia="Times New Roman" w:cs="Calibri"/>
                <w:color w:val="000000"/>
                <w:lang w:eastAsia="el-GR"/>
              </w:rPr>
              <w:br/>
              <w:t>Τα ανωτέρω έξοδα εισπράττονται ανά ακίνητο.</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17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val="restart"/>
            <w:tcBorders>
              <w:left w:val="single" w:sz="4" w:space="0" w:color="000000"/>
              <w:bottom w:val="single" w:sz="4" w:space="0" w:color="000000"/>
              <w:right w:val="single" w:sz="4" w:space="0" w:color="000000"/>
            </w:tcBorders>
            <w:shd w:val="clear" w:color="auto" w:fill="auto"/>
          </w:tcPr>
          <w:p w:rsidR="0098654B" w:rsidRDefault="009B011D">
            <w:pPr>
              <w:spacing w:after="0" w:line="240" w:lineRule="auto"/>
              <w:rPr>
                <w:rFonts w:ascii="Calibri" w:eastAsia="Times New Roman" w:hAnsi="Calibri" w:cs="Calibri"/>
                <w:b/>
                <w:bCs/>
                <w:color w:val="000000"/>
                <w:lang w:eastAsia="el-GR"/>
              </w:rPr>
            </w:pPr>
            <w:r>
              <w:rPr>
                <w:rFonts w:eastAsia="Times New Roman" w:cs="Calibri"/>
                <w:b/>
                <w:bCs/>
                <w:color w:val="000000"/>
                <w:lang w:eastAsia="el-GR"/>
              </w:rPr>
              <w:lastRenderedPageBreak/>
              <w:t xml:space="preserve">ΤΡΑΠΕΖΑ ΠΕΙΡΑΙΩΣ </w:t>
            </w:r>
          </w:p>
        </w:tc>
        <w:tc>
          <w:tcPr>
            <w:tcW w:w="4659" w:type="dxa"/>
            <w:vMerge w:val="restart"/>
            <w:tcBorders>
              <w:left w:val="single" w:sz="4" w:space="0" w:color="000000"/>
              <w:bottom w:val="single" w:sz="4" w:space="0" w:color="000000"/>
              <w:right w:val="single" w:sz="4" w:space="0" w:color="000000"/>
            </w:tcBorders>
            <w:shd w:val="clear" w:color="000000" w:fill="DEEAF6"/>
            <w:vAlign w:val="center"/>
          </w:tcPr>
          <w:p w:rsidR="0098654B" w:rsidRDefault="009B011D">
            <w:pPr>
              <w:spacing w:after="0" w:line="240" w:lineRule="auto"/>
              <w:jc w:val="center"/>
              <w:rPr>
                <w:rFonts w:ascii="Calibri" w:eastAsia="Times New Roman" w:hAnsi="Calibri" w:cs="Calibri"/>
                <w:color w:val="000000"/>
                <w:lang w:eastAsia="el-GR"/>
              </w:rPr>
            </w:pPr>
            <w:r>
              <w:rPr>
                <w:rFonts w:eastAsia="Times New Roman" w:cs="Calibri"/>
                <w:color w:val="000000"/>
                <w:lang w:eastAsia="el-GR"/>
              </w:rPr>
              <w:t xml:space="preserve">500€, συμπεριλαμβανομένου ΦΠΑ. Η αμοιβή αφορά μέγιστο ποσό για ένα ακίνητο και δεν περιλαμβάνει τυχόν </w:t>
            </w:r>
            <w:r>
              <w:rPr>
                <w:rFonts w:eastAsia="Times New Roman" w:cs="Calibri"/>
                <w:color w:val="000000"/>
                <w:lang w:eastAsia="el-GR"/>
              </w:rPr>
              <w:t>οδοιπορικά που ενδέχεται να επιβαρύνουν λόγω ακινήτου σε απομακρυσμένες περιοχές όπου δεν υφίσταται κατάστημα της τράπεζας</w:t>
            </w: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r w:rsidR="0098654B">
        <w:trPr>
          <w:trHeight w:val="450"/>
        </w:trPr>
        <w:tc>
          <w:tcPr>
            <w:tcW w:w="3646"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b/>
                <w:bCs/>
                <w:color w:val="000000"/>
                <w:lang w:eastAsia="el-GR"/>
              </w:rPr>
            </w:pPr>
          </w:p>
        </w:tc>
        <w:tc>
          <w:tcPr>
            <w:tcW w:w="4659" w:type="dxa"/>
            <w:vMerge/>
            <w:tcBorders>
              <w:left w:val="single" w:sz="4" w:space="0" w:color="000000"/>
              <w:bottom w:val="single" w:sz="4" w:space="0" w:color="000000"/>
              <w:right w:val="single" w:sz="4" w:space="0" w:color="000000"/>
            </w:tcBorders>
            <w:vAlign w:val="center"/>
          </w:tcPr>
          <w:p w:rsidR="0098654B" w:rsidRDefault="0098654B">
            <w:pPr>
              <w:spacing w:after="0" w:line="240" w:lineRule="auto"/>
              <w:rPr>
                <w:rFonts w:ascii="Calibri" w:eastAsia="Times New Roman" w:hAnsi="Calibri" w:cs="Calibri"/>
                <w:color w:val="000000"/>
                <w:lang w:eastAsia="el-GR"/>
              </w:rPr>
            </w:pPr>
          </w:p>
        </w:tc>
      </w:tr>
    </w:tbl>
    <w:p w:rsidR="0098654B" w:rsidRDefault="009B011D">
      <w:pPr>
        <w:jc w:val="both"/>
        <w:rPr>
          <w:rFonts w:cstheme="minorHAnsi"/>
          <w:color w:val="FF0000"/>
          <w:sz w:val="24"/>
          <w:szCs w:val="24"/>
        </w:rPr>
      </w:pPr>
      <w:r>
        <w:rPr>
          <w:rFonts w:cstheme="minorHAnsi"/>
          <w:sz w:val="24"/>
          <w:szCs w:val="24"/>
        </w:rPr>
        <w:t xml:space="preserve">Η μονομερής αλλαγή των λοιπών εξόδων προς τα πάνω δεν είναι επιτρεπτή. </w:t>
      </w:r>
    </w:p>
    <w:p w:rsidR="0098654B" w:rsidRDefault="009B011D">
      <w:pPr>
        <w:pStyle w:val="a3"/>
        <w:numPr>
          <w:ilvl w:val="0"/>
          <w:numId w:val="2"/>
        </w:numPr>
        <w:jc w:val="both"/>
        <w:rPr>
          <w:rFonts w:cstheme="minorHAnsi"/>
          <w:sz w:val="24"/>
          <w:szCs w:val="24"/>
        </w:rPr>
      </w:pPr>
      <w:r>
        <w:rPr>
          <w:rFonts w:cstheme="minorHAnsi"/>
          <w:sz w:val="24"/>
          <w:szCs w:val="24"/>
        </w:rPr>
        <w:t xml:space="preserve">Λοιπά έξοδα που σχετίζονται με την εγγραφή του </w:t>
      </w:r>
      <w:r>
        <w:rPr>
          <w:rFonts w:cstheme="minorHAnsi"/>
          <w:sz w:val="24"/>
          <w:szCs w:val="24"/>
        </w:rPr>
        <w:t>βάρους επί του ακινήτου όπως, δαπάνη για την έκδοση της δικαστικής απόφασης εγγραφής προσημείωσης υποθήκης επί ακινήτου, τέλος για την εγγραφή της προσημείωσης υποθήκης, έξοδα για την υποβολή αίτησης έκδοσης πιστοποιητικών, την περίληψη της δικαστικής απόφ</w:t>
      </w:r>
      <w:r>
        <w:rPr>
          <w:rFonts w:cstheme="minorHAnsi"/>
          <w:sz w:val="24"/>
          <w:szCs w:val="24"/>
        </w:rPr>
        <w:t>ασης και την έκδοση των πιστοποιητικών, έξοδα για τη δήλωση των δικαιωμάτων προσημείωσης, εφόσον λειτουργεί Κτηματολογικό Γραφείο, έξοδα άρσης προσημείωσης, θα καταβάλλονται από τον δανειολήπτη.</w:t>
      </w:r>
    </w:p>
    <w:p w:rsidR="0098654B" w:rsidRDefault="0098654B">
      <w:pPr>
        <w:jc w:val="both"/>
        <w:rPr>
          <w:rFonts w:cstheme="minorHAnsi"/>
          <w:b/>
          <w:sz w:val="24"/>
          <w:szCs w:val="24"/>
        </w:rPr>
      </w:pPr>
    </w:p>
    <w:p w:rsidR="0098654B" w:rsidRDefault="009B011D">
      <w:pPr>
        <w:jc w:val="both"/>
        <w:rPr>
          <w:rFonts w:cstheme="minorHAnsi"/>
          <w:b/>
          <w:sz w:val="24"/>
          <w:szCs w:val="24"/>
        </w:rPr>
      </w:pPr>
      <w:r>
        <w:rPr>
          <w:rFonts w:cstheme="minorHAnsi"/>
          <w:b/>
          <w:sz w:val="24"/>
          <w:szCs w:val="24"/>
        </w:rPr>
        <w:t>12. Υπάρχει δυνατότητα πρόωρης εξόφλησης;</w:t>
      </w:r>
    </w:p>
    <w:p w:rsidR="0098654B" w:rsidRDefault="009B011D">
      <w:pPr>
        <w:jc w:val="both"/>
        <w:rPr>
          <w:rFonts w:cstheme="minorHAnsi"/>
          <w:sz w:val="24"/>
          <w:szCs w:val="24"/>
        </w:rPr>
      </w:pPr>
      <w:r>
        <w:rPr>
          <w:rFonts w:cstheme="minorHAnsi"/>
          <w:sz w:val="24"/>
          <w:szCs w:val="24"/>
        </w:rPr>
        <w:t>Ο Δανειολήπτης μπο</w:t>
      </w:r>
      <w:r>
        <w:rPr>
          <w:rFonts w:cstheme="minorHAnsi"/>
          <w:sz w:val="24"/>
          <w:szCs w:val="24"/>
        </w:rPr>
        <w:t>ρεί να εξοφλήσει μερικώς ή στο σύνολό του το δάνειο πριν την ημερομηνία λήξης του χωρίς οποιαδήποτε ποινή ή άλλη επιβάρυνση.</w:t>
      </w:r>
    </w:p>
    <w:p w:rsidR="0098654B" w:rsidRDefault="009B011D">
      <w:pPr>
        <w:jc w:val="both"/>
        <w:rPr>
          <w:rFonts w:cstheme="minorHAnsi"/>
          <w:b/>
          <w:sz w:val="24"/>
          <w:szCs w:val="24"/>
        </w:rPr>
      </w:pPr>
      <w:r>
        <w:rPr>
          <w:rFonts w:cstheme="minorHAnsi"/>
          <w:b/>
          <w:sz w:val="24"/>
          <w:szCs w:val="24"/>
        </w:rPr>
        <w:lastRenderedPageBreak/>
        <w:t>13. Υπάρχει περιορισμός και ως προς την εκτίμηση που θα ολοκληρωθεί από την Τράπεζα; Για παράδειγμα: έστω ότι η εμπορική αξία του α</w:t>
      </w:r>
      <w:r>
        <w:rPr>
          <w:rFonts w:cstheme="minorHAnsi"/>
          <w:b/>
          <w:sz w:val="24"/>
          <w:szCs w:val="24"/>
        </w:rPr>
        <w:t>κινήτου έχει εκτιμηθεί από τον συνεργαζόμενο μηχανικό της Τράπεζας στις €250.000, αλλά ο ενδιαφερόμενος έχει συμφωνήσει να αγοράσει το ακίνητο στις €200.000 (και άρα το συμβόλαιο αναγράφει €200.000). Αυτό συνεπάγεται απόρριψη της αίτησης από την Τράπεζα, ή</w:t>
      </w:r>
      <w:r>
        <w:rPr>
          <w:rFonts w:cstheme="minorHAnsi"/>
          <w:b/>
          <w:sz w:val="24"/>
          <w:szCs w:val="24"/>
        </w:rPr>
        <w:t xml:space="preserve"> λαμβάνεται υπόψη μόνο το ποσό που αναγράφεται στο συμβόλαιο; </w:t>
      </w:r>
    </w:p>
    <w:p w:rsidR="0098654B" w:rsidRDefault="009B011D">
      <w:pPr>
        <w:jc w:val="both"/>
        <w:rPr>
          <w:rFonts w:cstheme="minorHAnsi"/>
          <w:sz w:val="24"/>
          <w:szCs w:val="24"/>
        </w:rPr>
      </w:pPr>
      <w:r>
        <w:rPr>
          <w:rFonts w:cstheme="minorHAnsi"/>
          <w:sz w:val="24"/>
          <w:szCs w:val="24"/>
        </w:rPr>
        <w:t>Σύμφωνα με το ν. 5006/2022 και την ΚΥΑ, ορίζεται αξία μέχρι €200.000 σύμφωνα με το συμβόλαιο αγοράς. Δεν μπορεί να απορριφθεί ως μη επιλέξιμη κατοικία εφόσον το συμβόλαιο είναι μέχρι το ανωτέρω</w:t>
      </w:r>
      <w:r>
        <w:rPr>
          <w:rFonts w:cstheme="minorHAnsi"/>
          <w:sz w:val="24"/>
          <w:szCs w:val="24"/>
        </w:rPr>
        <w:t xml:space="preserve"> όριο.</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14. Ποια είναι τα κριτήρια για τον πωλητή του ακινήτου;</w:t>
      </w:r>
    </w:p>
    <w:p w:rsidR="0098654B" w:rsidRDefault="009B011D">
      <w:pPr>
        <w:jc w:val="both"/>
        <w:rPr>
          <w:rFonts w:cstheme="minorHAnsi"/>
          <w:sz w:val="24"/>
          <w:szCs w:val="24"/>
        </w:rPr>
      </w:pPr>
      <w:r>
        <w:rPr>
          <w:rFonts w:cstheme="minorHAnsi"/>
          <w:sz w:val="24"/>
          <w:szCs w:val="24"/>
        </w:rPr>
        <w:t>Ο πωλητής του ακινήτου απαγορεύεται να είναι συγγενής (του αγοραστή ή του έτερου μέλους ζευγαριού), εξ’ αίματος ή εξ’ αγχιστείας, Α’ ή Β βαθμού, ή πρόσωπο που συνδέεται με σύμφωνο συμβίωσης με</w:t>
      </w:r>
      <w:r>
        <w:rPr>
          <w:rFonts w:cstheme="minorHAnsi"/>
          <w:sz w:val="24"/>
          <w:szCs w:val="24"/>
        </w:rPr>
        <w:t xml:space="preserve"> τον αγοραστή, ενδεικτικά:</w:t>
      </w:r>
    </w:p>
    <w:p w:rsidR="0098654B" w:rsidRDefault="009B011D">
      <w:pPr>
        <w:pStyle w:val="a3"/>
        <w:numPr>
          <w:ilvl w:val="0"/>
          <w:numId w:val="2"/>
        </w:numPr>
        <w:jc w:val="both"/>
        <w:rPr>
          <w:rFonts w:cstheme="minorHAnsi"/>
          <w:sz w:val="24"/>
          <w:szCs w:val="24"/>
        </w:rPr>
      </w:pPr>
      <w:r>
        <w:rPr>
          <w:rFonts w:cstheme="minorHAnsi"/>
          <w:sz w:val="24"/>
          <w:szCs w:val="24"/>
        </w:rPr>
        <w:t>παππούδες/γιαγιάδες σε σχέση με εγγόνια,</w:t>
      </w:r>
    </w:p>
    <w:p w:rsidR="0098654B" w:rsidRDefault="009B011D">
      <w:pPr>
        <w:pStyle w:val="a3"/>
        <w:numPr>
          <w:ilvl w:val="0"/>
          <w:numId w:val="2"/>
        </w:numPr>
        <w:jc w:val="both"/>
        <w:rPr>
          <w:rFonts w:cstheme="minorHAnsi"/>
          <w:sz w:val="24"/>
          <w:szCs w:val="24"/>
        </w:rPr>
      </w:pPr>
      <w:r>
        <w:rPr>
          <w:rFonts w:cstheme="minorHAnsi"/>
          <w:sz w:val="24"/>
          <w:szCs w:val="24"/>
        </w:rPr>
        <w:t>αδέλφια σε σχέση μεταξύ τους.</w:t>
      </w:r>
    </w:p>
    <w:p w:rsidR="0098654B" w:rsidRDefault="009B011D">
      <w:pPr>
        <w:jc w:val="both"/>
        <w:rPr>
          <w:rFonts w:cstheme="minorHAnsi"/>
          <w:sz w:val="24"/>
          <w:szCs w:val="24"/>
        </w:rPr>
      </w:pPr>
      <w:r>
        <w:rPr>
          <w:rFonts w:cstheme="minorHAnsi"/>
          <w:sz w:val="24"/>
          <w:szCs w:val="24"/>
        </w:rPr>
        <w:t>Η πιστοποίηση του βαθμού συγγένειας πραγματοποιείται με πιστοποιητικό οικογενειακής κατάστασης του αιτούντος και της πατρικής και μητρικής του οικογένειας και</w:t>
      </w:r>
      <w:r>
        <w:rPr>
          <w:rFonts w:cstheme="minorHAnsi"/>
          <w:sz w:val="24"/>
          <w:szCs w:val="24"/>
        </w:rPr>
        <w:t xml:space="preserve"> του συζύγου ή μέρους του συμφώνου συμβίωσης, ή πιστοποιητικό εγγυτέρων συγγενών, όπως προβλέπεται στη σχετική ΚΥΑ (189/2023 B’ 1180, όπως τροποποιήθηκε με την ΚΥΑ 34221/2023 Β’ 2018).</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 xml:space="preserve">15. Τι σημαίνει το ηλικιακό όριο των 39 ετών; Εννοείται μέχρι και 1 ημέρα πριν κλείσει κάποιος τα 40 ή μέχρι να κλείσει τα 39; Δηλαδή αν είναι 39 και 1 μηνός θα μπορεί να συμμετέχει; </w:t>
      </w:r>
    </w:p>
    <w:p w:rsidR="0098654B" w:rsidRDefault="009B011D">
      <w:pPr>
        <w:jc w:val="both"/>
        <w:rPr>
          <w:rFonts w:cstheme="minorHAnsi"/>
          <w:sz w:val="24"/>
          <w:szCs w:val="24"/>
        </w:rPr>
      </w:pPr>
      <w:r>
        <w:rPr>
          <w:rFonts w:cstheme="minorHAnsi"/>
          <w:sz w:val="24"/>
          <w:szCs w:val="24"/>
        </w:rPr>
        <w:t>Οι ενδιαφερόμενοι που έχουν συμπληρώσει το 39ο έτος της ηλικίας τους, αλ</w:t>
      </w:r>
      <w:r>
        <w:rPr>
          <w:rFonts w:cstheme="minorHAnsi"/>
          <w:sz w:val="24"/>
          <w:szCs w:val="24"/>
        </w:rPr>
        <w:t>λά όχι το 40ο έχουν δικαίωμα συμμετοχής στο πρόγραμμα. Επομένως, στην περίπτωση που ο ενδιαφερόμενος είναι 39 ετών και ενός μηνός έχει δικαίωμα συμμετοχής.</w:t>
      </w:r>
    </w:p>
    <w:p w:rsidR="0098654B" w:rsidRDefault="009B011D">
      <w:pPr>
        <w:jc w:val="both"/>
        <w:rPr>
          <w:rFonts w:cstheme="minorHAnsi"/>
          <w:b/>
          <w:sz w:val="24"/>
          <w:szCs w:val="24"/>
        </w:rPr>
      </w:pPr>
      <w:r>
        <w:rPr>
          <w:rFonts w:cstheme="minorHAnsi"/>
          <w:b/>
          <w:sz w:val="24"/>
          <w:szCs w:val="24"/>
        </w:rPr>
        <w:t>16. Σε περιπτώσεις συζύγων ή προσώπων που συνδέονται με σύμφωνο συμβίωσης η αίτηση πρέπει να γίνει α</w:t>
      </w:r>
      <w:r>
        <w:rPr>
          <w:rFonts w:cstheme="minorHAnsi"/>
          <w:b/>
          <w:sz w:val="24"/>
          <w:szCs w:val="24"/>
        </w:rPr>
        <w:t>πό τον/την σύζυγο που είναι κάτω των 39, ανεξαρτήτως εισοδήματος; Αν το εισόδημα το έχει αυτός που δεν πληροί το ηλικιακό κριτήριο, στο όνομα ποιου θα γίνει η αίτηση;</w:t>
      </w:r>
    </w:p>
    <w:p w:rsidR="0098654B" w:rsidRDefault="009B011D">
      <w:pPr>
        <w:jc w:val="both"/>
        <w:rPr>
          <w:rFonts w:cstheme="minorHAnsi"/>
          <w:b/>
          <w:sz w:val="24"/>
          <w:szCs w:val="24"/>
        </w:rPr>
      </w:pPr>
      <w:r>
        <w:rPr>
          <w:rFonts w:cstheme="minorHAnsi"/>
          <w:b/>
          <w:sz w:val="24"/>
          <w:szCs w:val="24"/>
        </w:rPr>
        <w:t xml:space="preserve">Περίπτωση 1: </w:t>
      </w:r>
      <w:r>
        <w:rPr>
          <w:rFonts w:cstheme="minorHAnsi"/>
          <w:bCs/>
          <w:sz w:val="24"/>
          <w:szCs w:val="24"/>
        </w:rPr>
        <w:t>Έγγαμος και η αγορά γίνεται και από τους δύο.</w:t>
      </w:r>
    </w:p>
    <w:p w:rsidR="0098654B" w:rsidRDefault="009B011D">
      <w:pPr>
        <w:jc w:val="both"/>
        <w:rPr>
          <w:rFonts w:cstheme="minorHAnsi"/>
          <w:b/>
          <w:sz w:val="24"/>
          <w:szCs w:val="24"/>
        </w:rPr>
      </w:pPr>
      <w:r>
        <w:rPr>
          <w:rFonts w:cstheme="minorHAnsi"/>
          <w:b/>
          <w:sz w:val="24"/>
          <w:szCs w:val="24"/>
        </w:rPr>
        <w:t xml:space="preserve">Περίπτωση 2: </w:t>
      </w:r>
      <w:r>
        <w:rPr>
          <w:rFonts w:cstheme="minorHAnsi"/>
          <w:bCs/>
          <w:sz w:val="24"/>
          <w:szCs w:val="24"/>
        </w:rPr>
        <w:t>Έγγαμος και η αγο</w:t>
      </w:r>
      <w:r>
        <w:rPr>
          <w:rFonts w:cstheme="minorHAnsi"/>
          <w:bCs/>
          <w:sz w:val="24"/>
          <w:szCs w:val="24"/>
        </w:rPr>
        <w:t>ρά γίνεται μόνο από αυτόν που είναι εντός του ηλικιακού κριτηρίου, αλλά είναι εκτός εισοδηματικών κριτηρίων.</w:t>
      </w:r>
    </w:p>
    <w:p w:rsidR="0098654B" w:rsidRDefault="009B011D">
      <w:pPr>
        <w:jc w:val="both"/>
        <w:rPr>
          <w:rFonts w:cstheme="minorHAnsi"/>
          <w:b/>
          <w:sz w:val="24"/>
          <w:szCs w:val="24"/>
        </w:rPr>
      </w:pPr>
      <w:r>
        <w:rPr>
          <w:rFonts w:cstheme="minorHAnsi"/>
          <w:b/>
          <w:sz w:val="24"/>
          <w:szCs w:val="24"/>
        </w:rPr>
        <w:lastRenderedPageBreak/>
        <w:t xml:space="preserve">Περίπτωση 3: </w:t>
      </w:r>
      <w:r>
        <w:rPr>
          <w:rFonts w:cstheme="minorHAnsi"/>
          <w:bCs/>
          <w:sz w:val="24"/>
          <w:szCs w:val="24"/>
        </w:rPr>
        <w:t>Έγγαμος αλλά η αγορά γίνεται μόνο από αυτόν που δεν καλύπτει το ηλικιακό κριτήριο, αλλά καλύπτει το εισοδηματικό κριτήριο.</w:t>
      </w:r>
    </w:p>
    <w:p w:rsidR="0098654B" w:rsidRDefault="009B011D">
      <w:pPr>
        <w:jc w:val="both"/>
        <w:rPr>
          <w:rFonts w:cstheme="minorHAnsi"/>
          <w:sz w:val="24"/>
          <w:szCs w:val="24"/>
        </w:rPr>
      </w:pPr>
      <w:r>
        <w:rPr>
          <w:rFonts w:cstheme="minorHAnsi"/>
          <w:sz w:val="24"/>
          <w:szCs w:val="24"/>
        </w:rPr>
        <w:t>ΑΠΑΝΤΗΣΗ: Γ</w:t>
      </w:r>
      <w:r>
        <w:rPr>
          <w:rFonts w:cstheme="minorHAnsi"/>
          <w:sz w:val="24"/>
          <w:szCs w:val="24"/>
        </w:rPr>
        <w:t>ια όλες τις περιπτώσεις αξιολογείται το οικογενειακό εισόδημα, είτε κάνουν κοινή είτε χωριστή δήλωση φορολογίας εισοδήματος. Ο αιτών πρέπει να πληροί υποχρεωτικά το ηλικιακό όριο.</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17. Στα δικαιολογητικά αναφέρεται ότι απαιτούνται για την ένταξη στο πρόγρα</w:t>
      </w:r>
      <w:r>
        <w:rPr>
          <w:rFonts w:cstheme="minorHAnsi"/>
          <w:b/>
          <w:sz w:val="24"/>
          <w:szCs w:val="24"/>
        </w:rPr>
        <w:t>μμα υποβολή Δήλωσης Στοιχείων Ακινήτου (Ε9) και Πιστοποιητικό ΕΝΦΙΑ του τελευταίου έτους. Τι γίνεται όμως όταν δεν διαθέτει κανείς ακίνητο και δεν μπορεί να εκτυπώσει τέτοια πιστοποιητικά;</w:t>
      </w:r>
    </w:p>
    <w:p w:rsidR="0098654B" w:rsidRDefault="009B011D">
      <w:pPr>
        <w:jc w:val="both"/>
        <w:rPr>
          <w:rFonts w:cstheme="minorHAnsi"/>
          <w:sz w:val="24"/>
          <w:szCs w:val="24"/>
        </w:rPr>
      </w:pPr>
      <w:r>
        <w:rPr>
          <w:rFonts w:cstheme="minorHAnsi"/>
          <w:sz w:val="24"/>
          <w:szCs w:val="24"/>
        </w:rPr>
        <w:t>Εκτυπώνεται πιστοποιητικό (από το taxisnet) στο οποίο αναφέρεται ότ</w:t>
      </w:r>
      <w:r>
        <w:rPr>
          <w:rFonts w:cstheme="minorHAnsi"/>
          <w:sz w:val="24"/>
          <w:szCs w:val="24"/>
        </w:rPr>
        <w:t>ι δεν γίνεται σχετική δήλωση και υποβάλλεται από τον αιτούντα μαζί με σχετική Υπεύθυνη Δήλωση του άρθρου 8 του ν.1599/1986.</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18. Το προς αγορά ακίνητο θα πρέπει να ελεγχθεί εάν καλύπτει τη στεγαστική ανάγκη του δικαιούχου;</w:t>
      </w:r>
    </w:p>
    <w:p w:rsidR="0098654B" w:rsidRDefault="009B011D">
      <w:pPr>
        <w:jc w:val="both"/>
        <w:rPr>
          <w:rFonts w:cstheme="minorHAnsi"/>
          <w:sz w:val="24"/>
          <w:szCs w:val="24"/>
        </w:rPr>
      </w:pPr>
      <w:r>
        <w:rPr>
          <w:rFonts w:cstheme="minorHAnsi"/>
          <w:sz w:val="24"/>
          <w:szCs w:val="24"/>
        </w:rPr>
        <w:t>Το προς αγορά ακίνητο θα είναι πρ</w:t>
      </w:r>
      <w:r>
        <w:rPr>
          <w:rFonts w:cstheme="minorHAnsi"/>
          <w:sz w:val="24"/>
          <w:szCs w:val="24"/>
        </w:rPr>
        <w:t xml:space="preserve">ώτη κατοικία.  Τα κριτήρια που πρέπει να πληροί το ακίνητο ορίζονται στο άρθρο 4 του ν 5006/2022 και αναφέρονται ρητώς στην απάντηση της ερώτησης νο 4.  </w:t>
      </w:r>
    </w:p>
    <w:p w:rsidR="0098654B" w:rsidRDefault="009B011D">
      <w:pPr>
        <w:jc w:val="both"/>
        <w:rPr>
          <w:rFonts w:cstheme="minorHAnsi"/>
          <w:sz w:val="24"/>
          <w:szCs w:val="24"/>
        </w:rPr>
      </w:pPr>
      <w:r>
        <w:rPr>
          <w:rFonts w:cstheme="minorHAnsi"/>
          <w:sz w:val="24"/>
          <w:szCs w:val="24"/>
        </w:rPr>
        <w:t>Τα κριτήρια καταλληλόλητας που σχετίζονται με την κάλυψη της στεγαστικής ανάγκης ισχύουν μόνο για τα υ</w:t>
      </w:r>
      <w:r>
        <w:rPr>
          <w:rFonts w:cstheme="minorHAnsi"/>
          <w:sz w:val="24"/>
          <w:szCs w:val="24"/>
        </w:rPr>
        <w:t xml:space="preserve">φιστάμενα ακίνητα ιδιοκτησίας του αιτούντα. </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19. Με ποιο τρόπο υποβάλουν αίτηση χρηματοδότησης οι ενδιαφερόμενοι για τη λήψη δανείου στο πλαίσιο του Προγράμματος;</w:t>
      </w:r>
    </w:p>
    <w:p w:rsidR="0098654B" w:rsidRDefault="009B011D">
      <w:pPr>
        <w:jc w:val="both"/>
        <w:rPr>
          <w:rFonts w:cstheme="minorHAnsi"/>
          <w:sz w:val="24"/>
          <w:szCs w:val="24"/>
        </w:rPr>
      </w:pPr>
      <w:r>
        <w:rPr>
          <w:rFonts w:cstheme="minorHAnsi"/>
          <w:sz w:val="24"/>
          <w:szCs w:val="24"/>
        </w:rPr>
        <w:t>Οι ενδιαφερόμενοι υποβάλουν αίτηση σε συνεργαζόμενη με το Πρόγραμμα τράπεζα της επιλογής του</w:t>
      </w:r>
      <w:r>
        <w:rPr>
          <w:rFonts w:cstheme="minorHAnsi"/>
          <w:sz w:val="24"/>
          <w:szCs w:val="24"/>
        </w:rPr>
        <w:t>ς, προκειμένου να κριθεί κατά αρχήν η επιλεξιμότητά τους. Στη συνέχεια, και στο πλαίσιο συγκεκριμένων χρονικών περιθωρίων, ακολουθείται η συνήθης διαδικασία αξιολόγησης και έγκρισης στεγαστικού δανείου.</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20. Υπάρχει χρονική δέσμευση από την τράπεζα να ενημ</w:t>
      </w:r>
      <w:r>
        <w:rPr>
          <w:rFonts w:cstheme="minorHAnsi"/>
          <w:b/>
          <w:sz w:val="24"/>
          <w:szCs w:val="24"/>
        </w:rPr>
        <w:t>ερώσει τον αιτούντα για το αποτέλεσμα αξιολόγησης της αίτησης;</w:t>
      </w:r>
    </w:p>
    <w:p w:rsidR="0098654B" w:rsidRDefault="009B011D">
      <w:pPr>
        <w:jc w:val="both"/>
        <w:rPr>
          <w:rFonts w:cstheme="minorHAnsi"/>
          <w:sz w:val="24"/>
          <w:szCs w:val="24"/>
        </w:rPr>
      </w:pPr>
      <w:r>
        <w:rPr>
          <w:rFonts w:cstheme="minorHAnsi"/>
          <w:sz w:val="24"/>
          <w:szCs w:val="24"/>
        </w:rPr>
        <w:t>Οι τράπεζες ελέγχουν την πλήρωση των προϋποθέσεων επιλεξιμότητας καθώς και των δικαιολογητικών που έχουν ζητηθεί για κάθε αιτούντα και σε περίπτωση που αυτά πληρούνται, αξιολογούν την πιστοληπτ</w:t>
      </w:r>
      <w:r>
        <w:rPr>
          <w:rFonts w:cstheme="minorHAnsi"/>
          <w:sz w:val="24"/>
          <w:szCs w:val="24"/>
        </w:rPr>
        <w:t xml:space="preserve">ική ικανότητα του αιτούντος με βάση τους σχετικούς εσωτερικούς τους κανονισμούς και αποφασίζουν για την προέγκριση </w:t>
      </w:r>
      <w:r>
        <w:rPr>
          <w:rFonts w:cstheme="minorHAnsi"/>
          <w:sz w:val="24"/>
          <w:szCs w:val="24"/>
        </w:rPr>
        <w:lastRenderedPageBreak/>
        <w:t>ή όχι του δανείου εντός 60 ημερών από τη χρονική στιγμή που ο ενδιαφερόμενος υποβάλει την αίτηση.</w:t>
      </w:r>
    </w:p>
    <w:p w:rsidR="0098654B" w:rsidRDefault="009B011D">
      <w:pPr>
        <w:jc w:val="both"/>
        <w:rPr>
          <w:rFonts w:cstheme="minorHAnsi"/>
          <w:b/>
          <w:sz w:val="24"/>
          <w:szCs w:val="24"/>
        </w:rPr>
      </w:pPr>
      <w:r>
        <w:rPr>
          <w:rFonts w:cstheme="minorHAnsi"/>
          <w:b/>
          <w:sz w:val="24"/>
          <w:szCs w:val="24"/>
        </w:rPr>
        <w:t>21. Για ποιο διάστημα ισχύει η οικονομική π</w:t>
      </w:r>
      <w:r>
        <w:rPr>
          <w:rFonts w:cstheme="minorHAnsi"/>
          <w:b/>
          <w:sz w:val="24"/>
          <w:szCs w:val="24"/>
        </w:rPr>
        <w:t>ροέγκριση που έλαβε ο ενδιαφερόμενος και τι οφείλει να κάνει στη συνέχεια για την ολοκλήρωση του αιτήματος;</w:t>
      </w:r>
    </w:p>
    <w:p w:rsidR="0098654B" w:rsidRDefault="009B011D">
      <w:pPr>
        <w:jc w:val="both"/>
        <w:rPr>
          <w:rFonts w:cstheme="minorHAnsi"/>
          <w:sz w:val="24"/>
          <w:szCs w:val="24"/>
        </w:rPr>
      </w:pPr>
      <w:r>
        <w:rPr>
          <w:rFonts w:cstheme="minorHAnsi"/>
          <w:sz w:val="24"/>
          <w:szCs w:val="24"/>
        </w:rPr>
        <w:t>Η προέγκριση ισχύει για 60 ημέρες από τη γνωστοποίησή της στον αιτούντα. Εντός του διαστήματος αυτού ο αιτών οφείλει να γνωστοποιήσει στην τράπεζα τ</w:t>
      </w:r>
      <w:r>
        <w:rPr>
          <w:rFonts w:cstheme="minorHAnsi"/>
          <w:sz w:val="24"/>
          <w:szCs w:val="24"/>
        </w:rPr>
        <w:t>ο αιτούμενο ποσό δανείου, το ακίνητο που προτίθεται να αγοράσει και την τιμή στην οποία προτίθεται να το αγοράσει, και να προσκομίσει τα έγγραφα που απαιτούνται, ώστε η τράπεζα να ολοκληρώσει  τον απαραίτητο έλεγχο. Εφόσον η εν λόγω προθεσμία παρέλθει άπρα</w:t>
      </w:r>
      <w:r>
        <w:rPr>
          <w:rFonts w:cstheme="minorHAnsi"/>
          <w:sz w:val="24"/>
          <w:szCs w:val="24"/>
        </w:rPr>
        <w:t>κτη, η οικονομική προέγκριση παύει να ισχύει.</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22. Υπάρχουν χρονικοί περιορισμοί για την υπογραφή της δανειακής συμβάσης και την εκταμίευση του δανείου;</w:t>
      </w:r>
    </w:p>
    <w:p w:rsidR="0098654B" w:rsidRDefault="009B011D">
      <w:pPr>
        <w:jc w:val="both"/>
        <w:rPr>
          <w:rFonts w:cstheme="minorHAnsi"/>
          <w:sz w:val="24"/>
          <w:szCs w:val="24"/>
        </w:rPr>
      </w:pPr>
      <w:r>
        <w:rPr>
          <w:rFonts w:cstheme="minorHAnsi"/>
          <w:sz w:val="24"/>
          <w:szCs w:val="24"/>
        </w:rPr>
        <w:t xml:space="preserve">Ναι, η υπογραφή της σύμβασης του δανείου και η εκταμίευση του συνολικού ποσού θα πρέπει να έχουν γίνει </w:t>
      </w:r>
      <w:r>
        <w:rPr>
          <w:rFonts w:cstheme="minorHAnsi"/>
          <w:sz w:val="24"/>
          <w:szCs w:val="24"/>
        </w:rPr>
        <w:t>από τον ενδιαφερόμενο εντός χρονικού διαστήματος έξι μηνών από την έγκριση της αίτησης από την ΕΑΤ. Σε περίπτωση που το ανωτέρω διάστημα παρέλθει άπρακτο, η ενταγμένη αίτηση απεντάσσεται από το Χαρτοφυλάκιο. Μόνο σε περιπτώσεις που υπάρξει επιβεβαιωμένη κα</w:t>
      </w:r>
      <w:r>
        <w:rPr>
          <w:rFonts w:cstheme="minorHAnsi"/>
          <w:sz w:val="24"/>
          <w:szCs w:val="24"/>
        </w:rPr>
        <w:t xml:space="preserve">θυστέρηση μετεγγραφής του ακινήτου δύναται ο ενδιαφερόμενος να αιτηθεί παράταση του χρόνου υπογραφής Σύμβασης Τελικού Αποδέκτη και Εκταμίευσης κατά δύο επιπλέον μήνες κατ’ ανώτατο, εφόσον η σχετική αίτηση για εγγραφή υποθήκης ή προσημείωσης έχει υποβληθεί </w:t>
      </w:r>
      <w:r>
        <w:rPr>
          <w:rFonts w:cstheme="minorHAnsi"/>
          <w:sz w:val="24"/>
          <w:szCs w:val="24"/>
        </w:rPr>
        <w:t>εντός της προθεσμίας των έξι μηνών.</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23. Επιτρέπεται η υποβολή αίτησης σε περισσότερες από μία τράπεζες;</w:t>
      </w:r>
    </w:p>
    <w:p w:rsidR="0098654B" w:rsidRDefault="009B011D">
      <w:pPr>
        <w:jc w:val="both"/>
        <w:rPr>
          <w:rFonts w:cstheme="minorHAnsi"/>
          <w:sz w:val="24"/>
          <w:szCs w:val="24"/>
        </w:rPr>
      </w:pPr>
      <w:r>
        <w:rPr>
          <w:rFonts w:cstheme="minorHAnsi"/>
          <w:sz w:val="24"/>
          <w:szCs w:val="24"/>
        </w:rPr>
        <w:t xml:space="preserve">ΝΑΙ. Στην περίπτωση αυτή βέβαια ο αιτών επιβαρύνεται με το κόστος του κάθε διενεργούμενου Νομικού και Τεχνικού ελέγχου του ακινήτου. Ωστόσο η έγκριση </w:t>
      </w:r>
      <w:r>
        <w:rPr>
          <w:rFonts w:cstheme="minorHAnsi"/>
          <w:sz w:val="24"/>
          <w:szCs w:val="24"/>
        </w:rPr>
        <w:t>και η αντίστοιχη δέσμευση ποσού θα γίνει επί μιας αιτήσεως.</w:t>
      </w:r>
    </w:p>
    <w:p w:rsidR="0098654B" w:rsidRDefault="0098654B">
      <w:pPr>
        <w:jc w:val="both"/>
        <w:rPr>
          <w:rFonts w:cstheme="minorHAnsi"/>
          <w:sz w:val="24"/>
          <w:szCs w:val="24"/>
        </w:rPr>
      </w:pPr>
    </w:p>
    <w:p w:rsidR="0098654B" w:rsidRDefault="009B011D">
      <w:pPr>
        <w:jc w:val="both"/>
        <w:rPr>
          <w:rFonts w:cstheme="minorHAnsi"/>
          <w:b/>
          <w:sz w:val="24"/>
          <w:szCs w:val="24"/>
        </w:rPr>
      </w:pPr>
      <w:r>
        <w:rPr>
          <w:rFonts w:cstheme="minorHAnsi"/>
          <w:b/>
          <w:sz w:val="24"/>
          <w:szCs w:val="24"/>
        </w:rPr>
        <w:t>24. Ποια είναι τα δικαιολογητικά που πρέπει να συγκεντρώσουν οι ενδιαφερόμενοι;</w:t>
      </w:r>
    </w:p>
    <w:p w:rsidR="0098654B" w:rsidRDefault="009B011D">
      <w:pPr>
        <w:jc w:val="both"/>
        <w:rPr>
          <w:rFonts w:cstheme="minorHAnsi"/>
          <w:sz w:val="24"/>
          <w:szCs w:val="24"/>
        </w:rPr>
      </w:pPr>
      <w:r>
        <w:rPr>
          <w:rFonts w:cstheme="minorHAnsi"/>
          <w:sz w:val="24"/>
          <w:szCs w:val="24"/>
        </w:rPr>
        <w:t>Προκειμένου να διαπιστωθεί αν καλύπτονται τα κριτήρια υπαγωγής στο πρόγραμμα (ηλικία, εισόδημα, ιδιοκτησία άλλου κα</w:t>
      </w:r>
      <w:r>
        <w:rPr>
          <w:rFonts w:cstheme="minorHAnsi"/>
          <w:sz w:val="24"/>
          <w:szCs w:val="24"/>
        </w:rPr>
        <w:t>τάλληλου ακινήτου), οι ενδιαφερόμενοι θα πρέπει να υποβάλουν τα εξής στοιχεία:</w:t>
      </w:r>
    </w:p>
    <w:p w:rsidR="0098654B" w:rsidRDefault="009B011D">
      <w:pPr>
        <w:jc w:val="both"/>
        <w:rPr>
          <w:rFonts w:cstheme="minorHAnsi"/>
          <w:b/>
          <w:sz w:val="24"/>
          <w:szCs w:val="24"/>
        </w:rPr>
      </w:pPr>
      <w:r>
        <w:rPr>
          <w:rFonts w:cstheme="minorHAnsi"/>
          <w:b/>
          <w:sz w:val="24"/>
          <w:szCs w:val="24"/>
        </w:rPr>
        <w:t xml:space="preserve">Α.   ΔΙΚΑΙΟΥΧΟΣ </w:t>
      </w:r>
    </w:p>
    <w:p w:rsidR="0098654B" w:rsidRDefault="009B011D">
      <w:pPr>
        <w:jc w:val="both"/>
        <w:rPr>
          <w:rFonts w:cstheme="minorHAnsi"/>
          <w:sz w:val="24"/>
          <w:szCs w:val="24"/>
        </w:rPr>
      </w:pPr>
      <w:r>
        <w:rPr>
          <w:rFonts w:cstheme="minorHAnsi"/>
          <w:sz w:val="24"/>
          <w:szCs w:val="24"/>
        </w:rPr>
        <w:t>Α1. ΗΛΙΚΙΑ ΑΙΤΟΥΝΤΟΣ:</w:t>
      </w:r>
    </w:p>
    <w:p w:rsidR="0098654B" w:rsidRDefault="009B011D">
      <w:pPr>
        <w:jc w:val="both"/>
        <w:rPr>
          <w:rFonts w:cstheme="minorHAnsi"/>
          <w:sz w:val="24"/>
          <w:szCs w:val="24"/>
        </w:rPr>
      </w:pPr>
      <w:r>
        <w:rPr>
          <w:rFonts w:cstheme="minorHAnsi"/>
          <w:sz w:val="24"/>
          <w:szCs w:val="24"/>
        </w:rPr>
        <w:t xml:space="preserve">1. Πιστοποιητικό γέννησης. Ή </w:t>
      </w:r>
    </w:p>
    <w:p w:rsidR="0098654B" w:rsidRDefault="009B011D">
      <w:pPr>
        <w:jc w:val="both"/>
        <w:rPr>
          <w:rFonts w:cstheme="minorHAnsi"/>
          <w:sz w:val="24"/>
          <w:szCs w:val="24"/>
        </w:rPr>
      </w:pPr>
      <w:r>
        <w:rPr>
          <w:rFonts w:cstheme="minorHAnsi"/>
          <w:sz w:val="24"/>
          <w:szCs w:val="24"/>
        </w:rPr>
        <w:lastRenderedPageBreak/>
        <w:t>2. Αντίγραφο Αστυνομικής ταυτότητας.</w:t>
      </w:r>
    </w:p>
    <w:p w:rsidR="0098654B" w:rsidRDefault="009B011D">
      <w:pPr>
        <w:jc w:val="both"/>
        <w:rPr>
          <w:rFonts w:cstheme="minorHAnsi"/>
          <w:sz w:val="24"/>
          <w:szCs w:val="24"/>
        </w:rPr>
      </w:pPr>
      <w:r>
        <w:rPr>
          <w:rFonts w:cstheme="minorHAnsi"/>
          <w:sz w:val="24"/>
          <w:szCs w:val="24"/>
        </w:rPr>
        <w:t>Α2. ΟΙΚΟΓΕΝΕΙΑΚΗ ΚΑΤΑΣΤΑΣΗ:</w:t>
      </w:r>
    </w:p>
    <w:p w:rsidR="0098654B" w:rsidRDefault="009B011D">
      <w:pPr>
        <w:jc w:val="both"/>
        <w:rPr>
          <w:rFonts w:cstheme="minorHAnsi"/>
          <w:sz w:val="24"/>
          <w:szCs w:val="24"/>
        </w:rPr>
      </w:pPr>
      <w:r>
        <w:rPr>
          <w:rFonts w:cstheme="minorHAnsi"/>
          <w:sz w:val="24"/>
          <w:szCs w:val="24"/>
        </w:rPr>
        <w:t xml:space="preserve">  1. Πιστοποιητικό οικογενειακής κατάστασης</w:t>
      </w:r>
      <w:r>
        <w:rPr>
          <w:rFonts w:cstheme="minorHAnsi"/>
          <w:sz w:val="24"/>
          <w:szCs w:val="24"/>
        </w:rPr>
        <w:t xml:space="preserve"> που έχει εκδοθεί όχι νωρίτερα από ένα (1) μήνα πριν την υποβολή της αίτησης για χορήγηση δανείου.</w:t>
      </w:r>
    </w:p>
    <w:p w:rsidR="0098654B" w:rsidRDefault="009B011D">
      <w:pPr>
        <w:jc w:val="both"/>
        <w:rPr>
          <w:rFonts w:cstheme="minorHAnsi"/>
          <w:sz w:val="24"/>
          <w:szCs w:val="24"/>
        </w:rPr>
      </w:pPr>
      <w:r>
        <w:rPr>
          <w:rFonts w:cstheme="minorHAnsi"/>
          <w:sz w:val="24"/>
          <w:szCs w:val="24"/>
        </w:rPr>
        <w:t xml:space="preserve">  2. Υπεύθυνη δήλωση του άρθρου 8 του ν. 1599/1986 ότι ασκεί εν τοις       πράγμασι και κατ’ αποκλειστικότητα τη γονική μέριμνα ενός ή περισσότερων ανήλικων </w:t>
      </w:r>
      <w:r>
        <w:rPr>
          <w:rFonts w:cstheme="minorHAnsi"/>
          <w:sz w:val="24"/>
          <w:szCs w:val="24"/>
        </w:rPr>
        <w:t>τέκνων, (σε περιπτώσεις μονογονεϊκής οικογένειας).</w:t>
      </w:r>
    </w:p>
    <w:p w:rsidR="0098654B" w:rsidRDefault="009B011D">
      <w:pPr>
        <w:jc w:val="both"/>
        <w:rPr>
          <w:rFonts w:cstheme="minorHAnsi"/>
          <w:sz w:val="24"/>
          <w:szCs w:val="24"/>
        </w:rPr>
      </w:pPr>
      <w:r>
        <w:rPr>
          <w:rFonts w:cstheme="minorHAnsi"/>
          <w:sz w:val="24"/>
          <w:szCs w:val="24"/>
        </w:rPr>
        <w:t>3.Αντίγραφο δικαστικής απόφασης σε περίπτωση διαζυγίου ή ακυρώσεως γάμου ή λύσης του συμφώνου συμβίωσης η άλλες εξαιρετικές περιπτώσεις.</w:t>
      </w:r>
    </w:p>
    <w:p w:rsidR="0098654B" w:rsidRDefault="009B011D">
      <w:pPr>
        <w:jc w:val="both"/>
        <w:rPr>
          <w:rFonts w:cstheme="minorHAnsi"/>
          <w:b/>
          <w:sz w:val="24"/>
          <w:szCs w:val="24"/>
        </w:rPr>
      </w:pPr>
      <w:r>
        <w:rPr>
          <w:rFonts w:cstheme="minorHAnsi"/>
          <w:b/>
          <w:sz w:val="24"/>
          <w:szCs w:val="24"/>
        </w:rPr>
        <w:t xml:space="preserve">Β. ΕΙΣΟΔΗΜΑΤΙΚΑ  ΚΡΙΤΗΡΙΑ </w:t>
      </w:r>
    </w:p>
    <w:p w:rsidR="0098654B" w:rsidRDefault="009B011D">
      <w:pPr>
        <w:jc w:val="both"/>
        <w:rPr>
          <w:rFonts w:cstheme="minorHAnsi"/>
          <w:sz w:val="24"/>
          <w:szCs w:val="24"/>
        </w:rPr>
      </w:pPr>
      <w:r>
        <w:rPr>
          <w:rFonts w:cstheme="minorHAnsi"/>
          <w:sz w:val="24"/>
          <w:szCs w:val="24"/>
        </w:rPr>
        <w:t xml:space="preserve">1α.Δήλωση Φορολογίας Εισοδήματος Φυσικών </w:t>
      </w:r>
      <w:r>
        <w:rPr>
          <w:rFonts w:cstheme="minorHAnsi"/>
          <w:sz w:val="24"/>
          <w:szCs w:val="24"/>
        </w:rPr>
        <w:t xml:space="preserve">Προσώπων (Ε1), του τελευταίου φορολογικού έτους αιτούντος. </w:t>
      </w:r>
    </w:p>
    <w:p w:rsidR="0098654B" w:rsidRDefault="009B011D">
      <w:pPr>
        <w:jc w:val="both"/>
        <w:rPr>
          <w:rFonts w:cstheme="minorHAnsi"/>
          <w:sz w:val="24"/>
          <w:szCs w:val="24"/>
        </w:rPr>
      </w:pPr>
      <w:r>
        <w:rPr>
          <w:rFonts w:cstheme="minorHAnsi"/>
          <w:sz w:val="24"/>
          <w:szCs w:val="24"/>
        </w:rPr>
        <w:t xml:space="preserve">1β.Δήλωση Φορολογίας Εισοδήματος Φυσικών Προσώπων (Ε1), του τελευταίου φορολογικού έτους συζύγου/ συμβίου αιτούντος. </w:t>
      </w:r>
    </w:p>
    <w:p w:rsidR="0098654B" w:rsidRDefault="009B011D">
      <w:pPr>
        <w:jc w:val="both"/>
        <w:rPr>
          <w:rFonts w:cstheme="minorHAnsi"/>
          <w:sz w:val="24"/>
          <w:szCs w:val="24"/>
        </w:rPr>
      </w:pPr>
      <w:r>
        <w:rPr>
          <w:rFonts w:cstheme="minorHAnsi"/>
          <w:sz w:val="24"/>
          <w:szCs w:val="24"/>
        </w:rPr>
        <w:t xml:space="preserve">Ή </w:t>
      </w:r>
    </w:p>
    <w:p w:rsidR="0098654B" w:rsidRDefault="009B011D">
      <w:pPr>
        <w:jc w:val="both"/>
        <w:rPr>
          <w:rFonts w:cstheme="minorHAnsi"/>
          <w:sz w:val="24"/>
          <w:szCs w:val="24"/>
        </w:rPr>
      </w:pPr>
      <w:r>
        <w:rPr>
          <w:rFonts w:cstheme="minorHAnsi"/>
          <w:sz w:val="24"/>
          <w:szCs w:val="24"/>
        </w:rPr>
        <w:t>2α. Εκκαθαριστικό Σημείωμα/Πράξη Διοικητικού Προσδιορισμού Φόρου Φυσικών Πρ</w:t>
      </w:r>
      <w:r>
        <w:rPr>
          <w:rFonts w:cstheme="minorHAnsi"/>
          <w:sz w:val="24"/>
          <w:szCs w:val="24"/>
        </w:rPr>
        <w:t>οσώπων του τελευταίου φορολογικού έτους αιτούντος.</w:t>
      </w:r>
    </w:p>
    <w:p w:rsidR="0098654B" w:rsidRDefault="009B011D">
      <w:pPr>
        <w:jc w:val="both"/>
        <w:rPr>
          <w:rFonts w:cstheme="minorHAnsi"/>
          <w:sz w:val="24"/>
          <w:szCs w:val="24"/>
        </w:rPr>
      </w:pPr>
      <w:r>
        <w:rPr>
          <w:rFonts w:cstheme="minorHAnsi"/>
          <w:sz w:val="24"/>
          <w:szCs w:val="24"/>
        </w:rPr>
        <w:t xml:space="preserve">2β.Εκκαθαριστικό Σημείωμα/Πράξη Διοικητικού Προσδιορισμού Φόρου Φυσικών Προσώπων του τελευταίου φορολογικού έτους συζύγου/ συμβίου αιτούντος. </w:t>
      </w:r>
    </w:p>
    <w:p w:rsidR="0098654B" w:rsidRDefault="009B011D">
      <w:pPr>
        <w:jc w:val="both"/>
        <w:rPr>
          <w:rFonts w:cstheme="minorHAnsi"/>
          <w:sz w:val="24"/>
          <w:szCs w:val="24"/>
        </w:rPr>
      </w:pPr>
      <w:r>
        <w:rPr>
          <w:rFonts w:cstheme="minorHAnsi"/>
          <w:sz w:val="24"/>
          <w:szCs w:val="24"/>
        </w:rPr>
        <w:t xml:space="preserve">Στην περίπτωση συζύγων ή μερών συμφώνου συμβίωσης, λαμβάνεται </w:t>
      </w:r>
      <w:r>
        <w:rPr>
          <w:rFonts w:cstheme="minorHAnsi"/>
          <w:sz w:val="24"/>
          <w:szCs w:val="24"/>
        </w:rPr>
        <w:t>υπόψη το οικογενειακό τους εισόδημα, ανεξαρτήτως εάν υποβάλλουν χωριστές δηλώσεις ή εάν υποβάλλει αίτηση για χορήγηση δανείου  ο ένας εκ των δυο.</w:t>
      </w:r>
    </w:p>
    <w:p w:rsidR="0098654B" w:rsidRDefault="009B011D">
      <w:pPr>
        <w:jc w:val="both"/>
        <w:rPr>
          <w:rFonts w:cstheme="minorHAnsi"/>
          <w:b/>
          <w:sz w:val="24"/>
          <w:szCs w:val="24"/>
        </w:rPr>
      </w:pPr>
      <w:r>
        <w:rPr>
          <w:rFonts w:cstheme="minorHAnsi"/>
          <w:b/>
          <w:sz w:val="24"/>
          <w:szCs w:val="24"/>
        </w:rPr>
        <w:t>Γ. ΥΠΑΡΞΗ Ή ΜΗ ΚΑΤΑΛΛΗΛΟΥ ΑΚΙΝΗΤΟΥ  ΓΙΑ ΚΑΤΟΙΚΙΑ</w:t>
      </w:r>
    </w:p>
    <w:p w:rsidR="0098654B" w:rsidRDefault="009B011D">
      <w:pPr>
        <w:jc w:val="both"/>
        <w:rPr>
          <w:rFonts w:cstheme="minorHAnsi"/>
          <w:sz w:val="24"/>
          <w:szCs w:val="24"/>
        </w:rPr>
      </w:pPr>
      <w:r>
        <w:rPr>
          <w:rFonts w:cstheme="minorHAnsi"/>
          <w:sz w:val="24"/>
          <w:szCs w:val="24"/>
        </w:rPr>
        <w:t>1α. Δήλωση στοιχείων ακινήτου (Ε9) του τελευταίου έτους</w:t>
      </w:r>
    </w:p>
    <w:p w:rsidR="0098654B" w:rsidRDefault="009B011D">
      <w:pPr>
        <w:jc w:val="both"/>
        <w:rPr>
          <w:rFonts w:cstheme="minorHAnsi"/>
          <w:sz w:val="24"/>
          <w:szCs w:val="24"/>
        </w:rPr>
      </w:pPr>
      <w:r>
        <w:rPr>
          <w:rFonts w:cstheme="minorHAnsi"/>
          <w:sz w:val="24"/>
          <w:szCs w:val="24"/>
        </w:rPr>
        <w:t>1β. Ή</w:t>
      </w:r>
      <w:r>
        <w:rPr>
          <w:rFonts w:cstheme="minorHAnsi"/>
          <w:sz w:val="24"/>
          <w:szCs w:val="24"/>
        </w:rPr>
        <w:t xml:space="preserve"> Εκτύπωση από taxisnet ότι δεν υφίστανται δηλώσεις στοιχείων ακινήτου (Ε9)</w:t>
      </w:r>
    </w:p>
    <w:p w:rsidR="0098654B" w:rsidRDefault="009B011D">
      <w:pPr>
        <w:jc w:val="both"/>
        <w:rPr>
          <w:rFonts w:cstheme="minorHAnsi"/>
          <w:sz w:val="24"/>
          <w:szCs w:val="24"/>
        </w:rPr>
      </w:pPr>
      <w:r>
        <w:rPr>
          <w:rFonts w:cstheme="minorHAnsi"/>
          <w:sz w:val="24"/>
          <w:szCs w:val="24"/>
        </w:rPr>
        <w:t xml:space="preserve">1γ. . Πιστοποιητικό Ενιαίου Φόρου Ιδιοκτησίας Ακινήτων (ΕΝ.Φ.Ι.Α.) του τελευταίου έτους. </w:t>
      </w:r>
    </w:p>
    <w:p w:rsidR="0098654B" w:rsidRDefault="009B011D">
      <w:pPr>
        <w:jc w:val="both"/>
        <w:rPr>
          <w:rFonts w:cstheme="minorHAnsi"/>
          <w:sz w:val="24"/>
          <w:szCs w:val="24"/>
        </w:rPr>
      </w:pPr>
      <w:r>
        <w:rPr>
          <w:rFonts w:cstheme="minorHAnsi"/>
          <w:sz w:val="24"/>
          <w:szCs w:val="24"/>
        </w:rPr>
        <w:t>2α. Έντυπο Ε3-Κατάσταση οικονομικών στοιχείων από επιχειρηματική δραστηριότητα του αιτούντο</w:t>
      </w:r>
      <w:r>
        <w:rPr>
          <w:rFonts w:cstheme="minorHAnsi"/>
          <w:sz w:val="24"/>
          <w:szCs w:val="24"/>
        </w:rPr>
        <w:t xml:space="preserve">ς </w:t>
      </w:r>
    </w:p>
    <w:p w:rsidR="0098654B" w:rsidRDefault="009B011D">
      <w:pPr>
        <w:jc w:val="both"/>
        <w:rPr>
          <w:rFonts w:cstheme="minorHAnsi"/>
          <w:sz w:val="24"/>
          <w:szCs w:val="24"/>
        </w:rPr>
      </w:pPr>
      <w:r>
        <w:rPr>
          <w:rFonts w:cstheme="minorHAnsi"/>
          <w:sz w:val="24"/>
          <w:szCs w:val="24"/>
        </w:rPr>
        <w:t>2β.Βεβαίωση του εργοδότη που αποδεικνύει τον τόπο επαγγελματικής απασχόλησης.</w:t>
      </w:r>
    </w:p>
    <w:p w:rsidR="0098654B" w:rsidRDefault="009B011D">
      <w:pPr>
        <w:jc w:val="both"/>
        <w:rPr>
          <w:rFonts w:cstheme="minorHAnsi"/>
          <w:sz w:val="24"/>
          <w:szCs w:val="24"/>
        </w:rPr>
      </w:pPr>
      <w:r>
        <w:rPr>
          <w:rFonts w:cstheme="minorHAnsi"/>
          <w:sz w:val="24"/>
          <w:szCs w:val="24"/>
        </w:rPr>
        <w:t>3. σε περίπτωση κυοφορίας σχετική ιατρική βεβαίωση</w:t>
      </w:r>
    </w:p>
    <w:p w:rsidR="0098654B" w:rsidRDefault="009B011D">
      <w:pPr>
        <w:jc w:val="both"/>
        <w:rPr>
          <w:rFonts w:cstheme="minorHAnsi"/>
          <w:b/>
          <w:sz w:val="24"/>
          <w:szCs w:val="24"/>
        </w:rPr>
      </w:pPr>
      <w:r>
        <w:rPr>
          <w:rFonts w:cstheme="minorHAnsi"/>
          <w:b/>
          <w:sz w:val="24"/>
          <w:szCs w:val="24"/>
        </w:rPr>
        <w:t xml:space="preserve">Δ.  ΥΠΕΥΘΥΝΗ ΔΗΛΩΣΗ </w:t>
      </w:r>
    </w:p>
    <w:p w:rsidR="0098654B" w:rsidRDefault="009B011D">
      <w:pPr>
        <w:jc w:val="both"/>
        <w:rPr>
          <w:rFonts w:cstheme="minorHAnsi"/>
          <w:sz w:val="24"/>
          <w:szCs w:val="24"/>
        </w:rPr>
      </w:pPr>
      <w:r>
        <w:rPr>
          <w:rFonts w:cstheme="minorHAnsi"/>
          <w:sz w:val="24"/>
          <w:szCs w:val="24"/>
        </w:rPr>
        <w:lastRenderedPageBreak/>
        <w:t>Υπεύθυνη δήλωση του άρθρου 8 του ν. 1599/1986 (Α’ 75), με την οποία ο αιτών βεβαιώνει ότι τα στοιχεία π</w:t>
      </w:r>
      <w:r>
        <w:rPr>
          <w:rFonts w:cstheme="minorHAnsi"/>
          <w:sz w:val="24"/>
          <w:szCs w:val="24"/>
        </w:rPr>
        <w:t>ου δηλώνονται στα κατατεθειμένα δικαιολογητικά είναι αληθή και πλήρη, τα δικαιολογητικά γνήσια και ότι έχει λάβει γνώση των όρων του Προγράμματος τους οποίους αποδέχεται πλήρως.</w:t>
      </w:r>
    </w:p>
    <w:p w:rsidR="0098654B" w:rsidRDefault="0098654B">
      <w:pPr>
        <w:jc w:val="right"/>
        <w:rPr>
          <w:rFonts w:cstheme="minorHAnsi"/>
          <w:b/>
          <w:sz w:val="24"/>
          <w:szCs w:val="24"/>
        </w:rPr>
      </w:pPr>
    </w:p>
    <w:p w:rsidR="0098654B" w:rsidRDefault="009B011D">
      <w:pPr>
        <w:jc w:val="right"/>
        <w:rPr>
          <w:rFonts w:cstheme="minorHAnsi"/>
          <w:b/>
          <w:sz w:val="24"/>
          <w:szCs w:val="24"/>
        </w:rPr>
      </w:pPr>
      <w:r>
        <w:rPr>
          <w:rFonts w:cstheme="minorHAnsi"/>
          <w:b/>
          <w:sz w:val="24"/>
          <w:szCs w:val="24"/>
        </w:rPr>
        <w:t>ΑΠΟ ΤΟ ΓΡΑΦΕΙΟ ΤΥΠΟΥ</w:t>
      </w:r>
    </w:p>
    <w:sectPr w:rsidR="0098654B" w:rsidSect="0098654B">
      <w:headerReference w:type="default" r:id="rId9"/>
      <w:footerReference w:type="default" r:id="rId10"/>
      <w:headerReference w:type="first" r:id="rId11"/>
      <w:footerReference w:type="first" r:id="rId12"/>
      <w:pgSz w:w="11906" w:h="16838"/>
      <w:pgMar w:top="1440" w:right="1800" w:bottom="1440" w:left="1800" w:header="708"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11D" w:rsidRDefault="009B011D" w:rsidP="0098654B">
      <w:pPr>
        <w:spacing w:after="0" w:line="240" w:lineRule="auto"/>
      </w:pPr>
      <w:r>
        <w:separator/>
      </w:r>
    </w:p>
  </w:endnote>
  <w:endnote w:type="continuationSeparator" w:id="1">
    <w:p w:rsidR="009B011D" w:rsidRDefault="009B011D" w:rsidP="00986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973709"/>
      <w:docPartObj>
        <w:docPartGallery w:val="Page Numbers (Bottom of Page)"/>
        <w:docPartUnique/>
      </w:docPartObj>
    </w:sdtPr>
    <w:sdtContent>
      <w:p w:rsidR="0098654B" w:rsidRDefault="0098654B">
        <w:pPr>
          <w:pStyle w:val="Footer"/>
          <w:jc w:val="center"/>
        </w:pPr>
        <w:r>
          <w:fldChar w:fldCharType="begin"/>
        </w:r>
        <w:r w:rsidR="009B011D">
          <w:instrText>PAGE</w:instrText>
        </w:r>
        <w:r>
          <w:fldChar w:fldCharType="separate"/>
        </w:r>
        <w:r w:rsidR="00140193">
          <w:rPr>
            <w:noProof/>
          </w:rPr>
          <w:t>5</w:t>
        </w:r>
        <w:r>
          <w:fldChar w:fldCharType="end"/>
        </w:r>
      </w:p>
    </w:sdtContent>
  </w:sdt>
  <w:p w:rsidR="0098654B" w:rsidRDefault="009865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31953"/>
      <w:docPartObj>
        <w:docPartGallery w:val="Page Numbers (Bottom of Page)"/>
        <w:docPartUnique/>
      </w:docPartObj>
    </w:sdtPr>
    <w:sdtContent>
      <w:p w:rsidR="0098654B" w:rsidRDefault="0098654B">
        <w:pPr>
          <w:pStyle w:val="Footer"/>
          <w:jc w:val="right"/>
        </w:pPr>
        <w:r>
          <w:fldChar w:fldCharType="begin"/>
        </w:r>
        <w:r w:rsidR="009B011D">
          <w:instrText>PAGE</w:instrText>
        </w:r>
        <w:r>
          <w:fldChar w:fldCharType="separate"/>
        </w:r>
        <w:r w:rsidR="00140193">
          <w:rPr>
            <w:noProof/>
          </w:rPr>
          <w:t>1</w:t>
        </w:r>
        <w:r>
          <w:fldChar w:fldCharType="end"/>
        </w:r>
      </w:p>
    </w:sdtContent>
  </w:sdt>
  <w:p w:rsidR="0098654B" w:rsidRDefault="00986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11D" w:rsidRDefault="009B011D" w:rsidP="0098654B">
      <w:pPr>
        <w:spacing w:after="0" w:line="240" w:lineRule="auto"/>
      </w:pPr>
      <w:r>
        <w:separator/>
      </w:r>
    </w:p>
  </w:footnote>
  <w:footnote w:type="continuationSeparator" w:id="1">
    <w:p w:rsidR="009B011D" w:rsidRDefault="009B011D" w:rsidP="009865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54B" w:rsidRDefault="0098654B">
    <w:pPr>
      <w:pStyle w:val="Header"/>
      <w:tabs>
        <w:tab w:val="clear" w:pos="8306"/>
      </w:tabs>
      <w:ind w:left="-15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54B" w:rsidRDefault="009B011D">
    <w:pPr>
      <w:pStyle w:val="Header"/>
      <w:tabs>
        <w:tab w:val="clear" w:pos="8306"/>
      </w:tabs>
      <w:ind w:left="-1800" w:right="-1759" w:firstLine="1658"/>
    </w:pPr>
    <w:r>
      <w:rPr>
        <w:noProof/>
        <w:lang w:val="en-GB" w:eastAsia="en-GB"/>
      </w:rPr>
      <w:drawing>
        <wp:anchor distT="0" distB="0" distL="114300" distR="114300" simplePos="0" relativeHeight="2" behindDoc="1" locked="0" layoutInCell="1" allowOverlap="1">
          <wp:simplePos x="0" y="0"/>
          <wp:positionH relativeFrom="page">
            <wp:posOffset>6985</wp:posOffset>
          </wp:positionH>
          <wp:positionV relativeFrom="page">
            <wp:posOffset>7620</wp:posOffset>
          </wp:positionV>
          <wp:extent cx="7553960" cy="156972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
                  <a:stretch>
                    <a:fillRect/>
                  </a:stretch>
                </pic:blipFill>
                <pic:spPr bwMode="auto">
                  <a:xfrm>
                    <a:off x="0" y="0"/>
                    <a:ext cx="7553960" cy="1569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2D8"/>
    <w:multiLevelType w:val="multilevel"/>
    <w:tmpl w:val="CD7C92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8AC4FD3"/>
    <w:multiLevelType w:val="multilevel"/>
    <w:tmpl w:val="507881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0760D51"/>
    <w:multiLevelType w:val="multilevel"/>
    <w:tmpl w:val="1550F8D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characterSpacingControl w:val="doNotCompress"/>
  <w:footnotePr>
    <w:footnote w:id="0"/>
    <w:footnote w:id="1"/>
  </w:footnotePr>
  <w:endnotePr>
    <w:endnote w:id="0"/>
    <w:endnote w:id="1"/>
  </w:endnotePr>
  <w:compat/>
  <w:rsids>
    <w:rsidRoot w:val="0098654B"/>
    <w:rsid w:val="00140193"/>
    <w:rsid w:val="0098654B"/>
    <w:rsid w:val="009B01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Header"/>
    <w:uiPriority w:val="99"/>
    <w:qFormat/>
    <w:rsid w:val="00903640"/>
  </w:style>
  <w:style w:type="character" w:customStyle="1" w:styleId="Char1">
    <w:name w:val="Παράγραφος λίστας Char1"/>
    <w:basedOn w:val="a0"/>
    <w:link w:val="a3"/>
    <w:uiPriority w:val="99"/>
    <w:qFormat/>
    <w:rsid w:val="00903640"/>
  </w:style>
  <w:style w:type="character" w:styleId="a4">
    <w:name w:val="Strong"/>
    <w:basedOn w:val="a0"/>
    <w:uiPriority w:val="22"/>
    <w:qFormat/>
    <w:rsid w:val="00C33C67"/>
    <w:rPr>
      <w:b/>
      <w:bCs/>
    </w:rPr>
  </w:style>
  <w:style w:type="character" w:customStyle="1" w:styleId="a5">
    <w:name w:val="Σύνδεσμος διαδικτύου"/>
    <w:basedOn w:val="a0"/>
    <w:uiPriority w:val="99"/>
    <w:semiHidden/>
    <w:unhideWhenUsed/>
    <w:rsid w:val="00C33C67"/>
    <w:rPr>
      <w:color w:val="0000FF"/>
      <w:u w:val="single"/>
    </w:rPr>
  </w:style>
  <w:style w:type="character" w:customStyle="1" w:styleId="-HTMLChar">
    <w:name w:val="Προ-διαμορφωμένο HTML Char"/>
    <w:basedOn w:val="a0"/>
    <w:uiPriority w:val="99"/>
    <w:qFormat/>
    <w:rsid w:val="00C33C67"/>
    <w:rPr>
      <w:rFonts w:ascii="Courier New" w:eastAsia="Times New Roman" w:hAnsi="Courier New" w:cs="Courier New"/>
      <w:sz w:val="20"/>
      <w:szCs w:val="20"/>
      <w:lang w:eastAsia="el-GR"/>
    </w:rPr>
  </w:style>
  <w:style w:type="character" w:customStyle="1" w:styleId="Char0">
    <w:name w:val="Κείμενο πλαισίου Char"/>
    <w:basedOn w:val="a0"/>
    <w:link w:val="a6"/>
    <w:uiPriority w:val="99"/>
    <w:semiHidden/>
    <w:qFormat/>
    <w:rsid w:val="00FF111A"/>
    <w:rPr>
      <w:rFonts w:ascii="Tahoma" w:hAnsi="Tahoma" w:cs="Tahoma"/>
      <w:sz w:val="16"/>
      <w:szCs w:val="16"/>
    </w:rPr>
  </w:style>
  <w:style w:type="character" w:customStyle="1" w:styleId="markedcontent">
    <w:name w:val="markedcontent"/>
    <w:basedOn w:val="a0"/>
    <w:qFormat/>
    <w:rsid w:val="00C90F74"/>
  </w:style>
  <w:style w:type="character" w:customStyle="1" w:styleId="Char2">
    <w:name w:val="Έντονο εισαγωγικό Char"/>
    <w:basedOn w:val="a0"/>
    <w:link w:val="a7"/>
    <w:uiPriority w:val="30"/>
    <w:qFormat/>
    <w:rsid w:val="00C91B37"/>
    <w:rPr>
      <w:i/>
      <w:iCs/>
      <w:color w:val="4472C4" w:themeColor="accent1"/>
    </w:rPr>
  </w:style>
  <w:style w:type="character" w:customStyle="1" w:styleId="Char3">
    <w:name w:val="Παράγραφος λίστας Char"/>
    <w:basedOn w:val="a0"/>
    <w:uiPriority w:val="34"/>
    <w:qFormat/>
    <w:rsid w:val="00AD0BEA"/>
  </w:style>
  <w:style w:type="paragraph" w:customStyle="1" w:styleId="a8">
    <w:name w:val="Επικεφαλίδα"/>
    <w:basedOn w:val="a"/>
    <w:next w:val="a9"/>
    <w:qFormat/>
    <w:rsid w:val="0098654B"/>
    <w:pPr>
      <w:keepNext/>
      <w:spacing w:before="240" w:after="120"/>
    </w:pPr>
    <w:rPr>
      <w:rFonts w:ascii="Liberation Sans" w:eastAsia="Microsoft YaHei" w:hAnsi="Liberation Sans" w:cs="Lucida Sans"/>
      <w:sz w:val="28"/>
      <w:szCs w:val="28"/>
    </w:rPr>
  </w:style>
  <w:style w:type="paragraph" w:styleId="a9">
    <w:name w:val="Body Text"/>
    <w:basedOn w:val="a"/>
    <w:rsid w:val="0098654B"/>
    <w:pPr>
      <w:spacing w:after="140" w:line="276" w:lineRule="auto"/>
    </w:pPr>
  </w:style>
  <w:style w:type="paragraph" w:styleId="aa">
    <w:name w:val="List"/>
    <w:basedOn w:val="a9"/>
    <w:rsid w:val="0098654B"/>
    <w:rPr>
      <w:rFonts w:cs="Lucida Sans"/>
    </w:rPr>
  </w:style>
  <w:style w:type="paragraph" w:customStyle="1" w:styleId="Caption">
    <w:name w:val="Caption"/>
    <w:basedOn w:val="a"/>
    <w:qFormat/>
    <w:rsid w:val="0098654B"/>
    <w:pPr>
      <w:suppressLineNumbers/>
      <w:spacing w:before="120" w:after="120"/>
    </w:pPr>
    <w:rPr>
      <w:rFonts w:cs="Lucida Sans"/>
      <w:i/>
      <w:iCs/>
      <w:sz w:val="24"/>
      <w:szCs w:val="24"/>
    </w:rPr>
  </w:style>
  <w:style w:type="paragraph" w:customStyle="1" w:styleId="ab">
    <w:name w:val="Ευρετήριο"/>
    <w:basedOn w:val="a"/>
    <w:qFormat/>
    <w:rsid w:val="0098654B"/>
    <w:pPr>
      <w:suppressLineNumbers/>
    </w:pPr>
    <w:rPr>
      <w:rFonts w:cs="Lucida Sans"/>
    </w:rPr>
  </w:style>
  <w:style w:type="paragraph" w:customStyle="1" w:styleId="ac">
    <w:name w:val="Κεφαλίδα και υποσέλιδο"/>
    <w:basedOn w:val="a"/>
    <w:qFormat/>
    <w:rsid w:val="0098654B"/>
  </w:style>
  <w:style w:type="paragraph" w:customStyle="1" w:styleId="Header">
    <w:name w:val="Header"/>
    <w:basedOn w:val="a"/>
    <w:link w:val="Char"/>
    <w:uiPriority w:val="99"/>
    <w:unhideWhenUsed/>
    <w:rsid w:val="00903640"/>
    <w:pPr>
      <w:tabs>
        <w:tab w:val="center" w:pos="4153"/>
        <w:tab w:val="right" w:pos="8306"/>
      </w:tabs>
      <w:spacing w:after="0" w:line="240" w:lineRule="auto"/>
    </w:pPr>
  </w:style>
  <w:style w:type="paragraph" w:customStyle="1" w:styleId="Footer">
    <w:name w:val="Footer"/>
    <w:basedOn w:val="a"/>
    <w:uiPriority w:val="99"/>
    <w:unhideWhenUsed/>
    <w:rsid w:val="00903640"/>
    <w:pPr>
      <w:tabs>
        <w:tab w:val="center" w:pos="4153"/>
        <w:tab w:val="right" w:pos="8306"/>
      </w:tabs>
      <w:spacing w:after="0" w:line="240" w:lineRule="auto"/>
    </w:pPr>
  </w:style>
  <w:style w:type="paragraph" w:styleId="a3">
    <w:name w:val="List Paragraph"/>
    <w:basedOn w:val="a"/>
    <w:link w:val="Char1"/>
    <w:uiPriority w:val="34"/>
    <w:qFormat/>
    <w:rsid w:val="002F6BCC"/>
    <w:pPr>
      <w:ind w:left="720"/>
      <w:contextualSpacing/>
    </w:pPr>
  </w:style>
  <w:style w:type="paragraph" w:styleId="Web">
    <w:name w:val="Normal (Web)"/>
    <w:basedOn w:val="a"/>
    <w:uiPriority w:val="99"/>
    <w:unhideWhenUsed/>
    <w:qFormat/>
    <w:rsid w:val="00C33C67"/>
    <w:pPr>
      <w:spacing w:beforeAutospacing="1"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uiPriority w:val="99"/>
    <w:unhideWhenUsed/>
    <w:qFormat/>
    <w:rsid w:val="00C3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xmsonormal">
    <w:name w:val="x_msonormal"/>
    <w:basedOn w:val="a"/>
    <w:qFormat/>
    <w:rsid w:val="00C33C67"/>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1">
    <w:name w:val="Βασικό1"/>
    <w:qFormat/>
    <w:rsid w:val="0082607F"/>
    <w:pPr>
      <w:spacing w:line="276" w:lineRule="auto"/>
    </w:pPr>
    <w:rPr>
      <w:rFonts w:ascii="Arial" w:eastAsia="Arial" w:hAnsi="Arial" w:cs="Arial"/>
      <w:lang w:eastAsia="el-GR"/>
    </w:rPr>
  </w:style>
  <w:style w:type="paragraph" w:customStyle="1" w:styleId="2">
    <w:name w:val="Βασικό2"/>
    <w:qFormat/>
    <w:rsid w:val="0082607F"/>
    <w:pPr>
      <w:spacing w:line="276" w:lineRule="auto"/>
    </w:pPr>
    <w:rPr>
      <w:rFonts w:ascii="Arial" w:eastAsia="Arial" w:hAnsi="Arial" w:cs="Arial"/>
      <w:lang w:eastAsia="el-GR"/>
    </w:rPr>
  </w:style>
  <w:style w:type="paragraph" w:styleId="a6">
    <w:name w:val="Balloon Text"/>
    <w:basedOn w:val="a"/>
    <w:link w:val="Char0"/>
    <w:uiPriority w:val="99"/>
    <w:semiHidden/>
    <w:unhideWhenUsed/>
    <w:qFormat/>
    <w:rsid w:val="00FF111A"/>
    <w:pPr>
      <w:spacing w:after="0" w:line="240" w:lineRule="auto"/>
    </w:pPr>
    <w:rPr>
      <w:rFonts w:ascii="Tahoma" w:hAnsi="Tahoma" w:cs="Tahoma"/>
      <w:sz w:val="16"/>
      <w:szCs w:val="16"/>
    </w:rPr>
  </w:style>
  <w:style w:type="paragraph" w:styleId="ad">
    <w:name w:val="caption"/>
    <w:basedOn w:val="a"/>
    <w:next w:val="a"/>
    <w:uiPriority w:val="35"/>
    <w:unhideWhenUsed/>
    <w:qFormat/>
    <w:rsid w:val="006350BF"/>
    <w:pPr>
      <w:spacing w:after="200" w:line="240" w:lineRule="auto"/>
    </w:pPr>
    <w:rPr>
      <w:i/>
      <w:iCs/>
      <w:color w:val="44546A" w:themeColor="text2"/>
      <w:sz w:val="18"/>
      <w:szCs w:val="18"/>
    </w:rPr>
  </w:style>
  <w:style w:type="paragraph" w:styleId="a7">
    <w:name w:val="Intense Quote"/>
    <w:basedOn w:val="a"/>
    <w:next w:val="a"/>
    <w:link w:val="Char2"/>
    <w:uiPriority w:val="30"/>
    <w:qFormat/>
    <w:rsid w:val="00C91B37"/>
    <w:pPr>
      <w:pBdr>
        <w:top w:val="single" w:sz="4" w:space="10" w:color="4472C4"/>
        <w:bottom w:val="single" w:sz="4" w:space="10" w:color="4472C4"/>
      </w:pBdr>
      <w:spacing w:before="360" w:after="360"/>
      <w:ind w:left="864" w:right="864"/>
      <w:jc w:val="center"/>
    </w:pPr>
    <w:rPr>
      <w:i/>
      <w:iCs/>
      <w:color w:val="4472C4" w:themeColor="accent1"/>
    </w:rPr>
  </w:style>
  <w:style w:type="paragraph" w:styleId="ae">
    <w:name w:val="Revision"/>
    <w:uiPriority w:val="99"/>
    <w:semiHidden/>
    <w:qFormat/>
    <w:rsid w:val="00DC2198"/>
  </w:style>
  <w:style w:type="table" w:styleId="af">
    <w:name w:val="Table Grid"/>
    <w:basedOn w:val="a1"/>
    <w:uiPriority w:val="39"/>
    <w:rsid w:val="006F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4 με πλέγμα - Έμφαση 11"/>
    <w:basedOn w:val="a1"/>
    <w:uiPriority w:val="49"/>
    <w:rsid w:val="007A065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75E4-1CBA-874E-8DEB-28327FD1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3807</Words>
  <Characters>21700</Characters>
  <Application>Microsoft Office Word</Application>
  <DocSecurity>0</DocSecurity>
  <Lines>180</Lines>
  <Paragraphs>50</Paragraphs>
  <ScaleCrop>false</ScaleCrop>
  <Company>Microsoft</Company>
  <LinksUpToDate>false</LinksUpToDate>
  <CharactersWithSpaces>25457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SuperUser</cp:lastModifiedBy>
  <cp:revision>2</cp:revision>
  <cp:lastPrinted>2022-08-31T08:27:00Z</cp:lastPrinted>
  <dcterms:created xsi:type="dcterms:W3CDTF">2023-04-01T07:50:00Z</dcterms:created>
  <dcterms:modified xsi:type="dcterms:W3CDTF">2023-04-01T07:50:00Z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